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hyperemesis strategic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35, Subtitle B, Title 2, Health and Safety Code is amended by adding new section 32.047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32.047.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HYPEREMESIS STRATEGIC PLAN.  (a)  The commission shall develop and implement a five-year strategic plan to improve diagnosis and public awareness of hyperemesis gravidarum.  Not later than September 1 of the last fiscal year in each five-year period, the commission shall develop a new strategic plan for the next five fiscal years beginning with the following fiscal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strategic plan must provide strategies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awareness among state-administered program providers who may serve women who are at risk of or are experiencing hyperemesis gravidarum about the prevalence and effects of hyperemesis on outcomes for women and children;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referral network of community-based health providers and support services addressing hyperemesis gravidarum;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women's access to formal and informal peer support services, including access to certified peer specialists who have received additional training related to hyperemesis gravidarum;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raise public awareness of hyperemesis gravidarum;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leverage sources of funding to support existing community-based hyperemesis gravidarum screening, referral, treatment, and support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coordinate with the department and the statewide health coordinating council in the development of this strategic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 consultation with the department and the statewide health coordinating council shall annually review and update, as necessary, the strategic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"hyperemesis gravidarum" means a disorder in which a woman experiences extreme, persistent nausea and vomiting during pregnancy which lead to dehydration, weight loss, and electrolyte imbalances.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