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1942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public facility corporations and requirements applicable to public facility corporations.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303.021, Local Government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corporation created under this chapter must remain a public facility corporation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303.022,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303.022.</w:t>
      </w:r>
      <w:r xml:space="preserve">
        <w:t> </w:t>
      </w:r>
      <w:r xml:space="preserve">
        <w:t> </w:t>
      </w:r>
      <w:r>
        <w:t xml:space="preserve">CREATION UNDER OTHER LAW.  A nonprofit corporation created by a housing authority under the Texas Non-Profit Corporation Act (Article 1396-1.01 et seq., Vernon's Texas Civil Statutes)</w:t>
      </w:r>
      <w:r>
        <w:rPr>
          <w:u w:val="single"/>
        </w:rPr>
        <w:t xml:space="preserve">, regardless of the date the corporation is created,</w:t>
      </w:r>
      <w:r>
        <w:t xml:space="preserve"> is considered a corporation under this chapter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and</w:t>
      </w:r>
      <w:r>
        <w:t xml:space="preserve">] has the rights and powers necessary or convenient to accomplish a corporation's purposes under this chapter</w:t>
      </w:r>
      <w:r>
        <w:rPr>
          <w:u w:val="single"/>
        </w:rPr>
        <w:t xml:space="preserve">, and is subject to the requirements of this chapter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1942 passed the Senate on May</w:t>
      </w:r>
      <w:r xml:space="preserve">
        <w:t> </w:t>
      </w:r>
      <w:r>
        <w:t xml:space="preserve">4,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29, Nays</w:t>
      </w:r>
      <w:r xml:space="preserve">
        <w:t> </w:t>
      </w:r>
      <w:r>
        <w:t xml:space="preserve">1.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1942 passed the House on May</w:t>
      </w:r>
      <w:r xml:space="preserve">
        <w:t> </w:t>
      </w:r>
      <w:r>
        <w:t xml:space="preserve">23,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118, Nays</w:t>
      </w:r>
      <w:r xml:space="preserve">
        <w:t> </w:t>
      </w:r>
      <w:r>
        <w:t xml:space="preserve">27,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1942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