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87R5877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disbursement of funds from a trust fund account by a title insurance company, title insurance agent, or escrow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2651.202,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money received and deposited in an account through an Automated Clearing House (ACH) transaction if the ACH transaction is irrevocable and final and cannot be canceled or reversed.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2652.004,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money received and deposited in an account through an Automated Clearing House (ACH) transaction if the ACH transaction is irrevocable and final and cannot be canceled or reversed.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