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87R26814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1963</w:t>
      </w:r>
    </w:p>
    <w:p w:rsidR="003F3435" w:rsidRDefault="0032493E">
      <w:pPr>
        <w:ind w:firstLine="720"/>
        <w:jc w:val="both"/>
      </w:pPr>
      <w:r>
        <w:t xml:space="preserve">(Turner of Tarrant)</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1963:</w:t>
      </w: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C.S.S.B.</w:t>
      </w:r>
      <w:r xml:space="preserve">
        <w:t> </w:t>
      </w:r>
      <w:r>
        <w:t xml:space="preserve">No.</w:t>
      </w:r>
      <w:r xml:space="preserve">
        <w:t> </w:t>
      </w:r>
      <w:r>
        <w:t xml:space="preserve">1963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by certain public institutions of higher education on the transferability of credit and to a transferability report card for those institutions.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51.4033, Education Code, is amended by amending Subsection (a) and adding Subsections (c) and (d) to read as follows:</w:t>
      </w:r>
    </w:p>
    <w:p w:rsidR="003F3435" w:rsidRDefault="0032493E">
      <w:pPr>
        <w:spacing w:line="480" w:lineRule="auto"/>
        <w:ind w:firstLine="720"/>
        <w:jc w:val="both"/>
      </w:pPr>
      <w:r>
        <w:t xml:space="preserve">(a)</w:t>
      </w:r>
      <w:r xml:space="preserve">
        <w:t> </w:t>
      </w:r>
      <w:r xml:space="preserve">
        <w:t> </w:t>
      </w:r>
      <w:r>
        <w:t xml:space="preserve">Not later than </w:t>
      </w:r>
      <w:r>
        <w:rPr>
          <w:u w:val="single"/>
        </w:rPr>
        <w:t xml:space="preserve">August</w:t>
      </w:r>
      <w:r>
        <w:t xml:space="preserve"> [</w:t>
      </w:r>
      <w:r>
        <w:rPr>
          <w:strike/>
        </w:rPr>
        <w:t xml:space="preserve">March</w:t>
      </w:r>
      <w:r>
        <w:t xml:space="preserve">] 1 of each year and in the form prescribed by the coordinating board, each general academic teaching institution shall provide to the coordinating board and the legislature a report describing any courses in the Lower-Division Academic Course Guide Manual or its successor adopted by the coordinating board for which a student who transfers to the institution from another institution of higher education is not granted:</w:t>
      </w:r>
    </w:p>
    <w:p w:rsidR="003F3435" w:rsidRDefault="0032493E">
      <w:pPr>
        <w:spacing w:line="480" w:lineRule="auto"/>
        <w:ind w:firstLine="1440"/>
        <w:jc w:val="both"/>
      </w:pPr>
      <w:r>
        <w:t xml:space="preserve">(1)</w:t>
      </w:r>
      <w:r xml:space="preserve">
        <w:t> </w:t>
      </w:r>
      <w:r xml:space="preserve">
        <w:t> </w:t>
      </w:r>
      <w:r>
        <w:t xml:space="preserve">academic credit at the receiving institution; or</w:t>
      </w:r>
    </w:p>
    <w:p w:rsidR="003F3435" w:rsidRDefault="0032493E">
      <w:pPr>
        <w:spacing w:line="480" w:lineRule="auto"/>
        <w:ind w:firstLine="1440"/>
        <w:jc w:val="both"/>
      </w:pPr>
      <w:r>
        <w:t xml:space="preserve">(2)</w:t>
      </w:r>
      <w:r xml:space="preserve">
        <w:t> </w:t>
      </w:r>
      <w:r xml:space="preserve">
        <w:t> </w:t>
      </w:r>
      <w:r>
        <w:t xml:space="preserve">if the student has declared a major and has not changed majors, academic credit toward the student's major at the receiving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general academic teaching institution shall annually post on the institution's Internet website a transferability report card using the data reported under this section. The report card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designed to provide information to students in a concise manner;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summary of the data reported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consultation with general academic teaching institutions, develop a model transferability report card for use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on the coordinating board's Internet website each general academic teaching institution's transferability report card posted on the institution's Internet website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51.4034, Education Code, is amended by amending Subsection (a) and adding Subsections (c) and (d) to read as follows:</w:t>
      </w:r>
    </w:p>
    <w:p w:rsidR="003F3435" w:rsidRDefault="0032493E">
      <w:pPr>
        <w:spacing w:line="480" w:lineRule="auto"/>
        <w:ind w:firstLine="720"/>
        <w:jc w:val="both"/>
      </w:pPr>
      <w:r>
        <w:t xml:space="preserve">(a)</w:t>
      </w:r>
      <w:r xml:space="preserve">
        <w:t> </w:t>
      </w:r>
      <w:r xml:space="preserve">
        <w:t> </w:t>
      </w:r>
      <w:r>
        <w:t xml:space="preserve">Not later than </w:t>
      </w:r>
      <w:r>
        <w:rPr>
          <w:u w:val="single"/>
        </w:rPr>
        <w:t xml:space="preserve">August</w:t>
      </w:r>
      <w:r>
        <w:t xml:space="preserve"> [</w:t>
      </w:r>
      <w:r>
        <w:rPr>
          <w:strike/>
        </w:rPr>
        <w:t xml:space="preserve">March</w:t>
      </w:r>
      <w:r>
        <w:t xml:space="preserve">] 1 of each year and in the form prescribed by the coordinating board, each public junior college shall provide to the coordinating board and the legislature a report on courses taken by students who, during the preceding academic year, transferred to a general academic teaching institution or earned an associate degree at the college.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public junior college shall annually post on the college's Internet website a transferability report card using the data reported under this section. The report card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designed to provide information to students in a concise manner;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summary of the data reported under this section, including the percentage of courses attempted that were also completed at the college, disaggregated by each category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consultation with public junior colleges, develop a model transferability report card for use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on the coordinating board's Internet website each public junior college's transferability report card posted on the college's Internet website under Subsection (c).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Higher Education Coordinating Board shall develop the model transferability report cards required under Sections 51.4033(d) and 51.4034(d),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Not later than August 1, 2023:</w:t>
      </w:r>
    </w:p>
    <w:p w:rsidR="003F3435" w:rsidRDefault="0032493E">
      <w:pPr>
        <w:spacing w:line="480" w:lineRule="auto"/>
        <w:ind w:firstLine="1440"/>
        <w:jc w:val="both"/>
      </w:pPr>
      <w:r>
        <w:t xml:space="preserve">(1)</w:t>
      </w:r>
      <w:r xml:space="preserve">
        <w:t> </w:t>
      </w:r>
      <w:r xml:space="preserve">
        <w:t> </w:t>
      </w:r>
      <w:r>
        <w:t xml:space="preserve">each general academic teaching institution shall post on the institution's Internet website the initial transferability report card required under Section 51.4033(c), Education Code, as added by this Act; and</w:t>
      </w:r>
    </w:p>
    <w:p w:rsidR="003F3435" w:rsidRDefault="0032493E">
      <w:pPr>
        <w:spacing w:line="480" w:lineRule="auto"/>
        <w:ind w:firstLine="1440"/>
        <w:jc w:val="both"/>
      </w:pPr>
      <w:r>
        <w:t xml:space="preserve">(2)</w:t>
      </w:r>
      <w:r xml:space="preserve">
        <w:t> </w:t>
      </w:r>
      <w:r xml:space="preserve">
        <w:t> </w:t>
      </w:r>
      <w:r>
        <w:t xml:space="preserve">each public junior college shall post on the college's Internet website the initial transferability report card required under Section 51.4034(c),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2023, the Texas Higher Education Coordinating Board shall post on the board's Internet website the initial transferability report cards as required under Sections 51.4033(d) and 51.4034(d), Education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