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87R11925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transferability report card for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51.96854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51.96854.</w:t>
      </w:r>
      <w:r>
        <w:rPr>
          <w:u w:val="single"/>
        </w:rPr>
        <w:t xml:space="preserve"> </w:t>
      </w:r>
      <w:r>
        <w:rPr>
          <w:u w:val="single"/>
        </w:rPr>
        <w:t xml:space="preserve"> </w:t>
      </w:r>
      <w:r>
        <w:rPr>
          <w:u w:val="single"/>
        </w:rPr>
        <w:t xml:space="preserve">TRANSFERABILITY REPORT CARD.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of each year, an institution of higher education shall post on the institution's Internet website a transferability report card that indicates for the preceding academic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semester credit hours or the equivalent for which undergraduate students transferring to the institution applied for transfer credit;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semester credit hours or the equivalent described by Subdivision (1) for which students received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in consultation with institutions of higher education, shall develop a model transferability report card for use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April 1 of each year, the coordinating board shall post on the coordinating board's Internet website a list of each institution of higher education's transferability percentage described by Subsection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Higher Education Coordinating Board shall develop the model transferability report card required under Section 51.96854(c),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March 1, 2022, each public institution of higher education shall post on the institution's Internet website the initial transferability report card required under Section 51.96854(b),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April 1, 2022, the Texas Higher Education Coordinating Board shall post on the board's Internet website the initial list required under Section 51.96854(d),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