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1963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Higher Education;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1963</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transferability report card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51.96854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51.96854.</w:t>
      </w:r>
      <w:r>
        <w:rPr>
          <w:u w:val="single"/>
        </w:rPr>
        <w:t xml:space="preserve"> </w:t>
      </w:r>
      <w:r>
        <w:rPr>
          <w:u w:val="single"/>
        </w:rPr>
        <w:t xml:space="preserve"> </w:t>
      </w:r>
      <w:r>
        <w:rPr>
          <w:u w:val="single"/>
        </w:rPr>
        <w:t xml:space="preserve">TRANSFERABILITY REPORT CARD.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"public state college"</w:t>
      </w:r>
      <w:r>
        <w:rPr>
          <w:u w:val="single"/>
        </w:rPr>
        <w:t xml:space="preserve"> </w:t>
      </w:r>
      <w:r>
        <w:rPr>
          <w:u w:val="single"/>
        </w:rPr>
        <w:t xml:space="preserve">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of each year, a general academic teaching institution other than a public state college shall post on the institution's Internet website a transferability report card that indicates for the preceding academic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semester credit hours or the equivalent for which undergraduate students transferring to the institution applied for transfer credit;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semester credit hours or the equivalent described by Subdivision (1) for which students received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in consultation with general academic teaching institutions to which Subsection (b) applies, shall develop a model transferability report card for use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April 1 of each year, the coordinating board shall post on the coordinating board's Internet website a list stating the transferability percentage described by Subsection (b)(2) of each general academic teaching institution other than a public state college.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Higher Education Coordinating Board shall develop the model transferability report card required under Section 51.96854(c),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March 1, 2023, each public institution of higher education to which Section 51.96854(b), Education Code, as added by this Act, applies shall post on the institution's Internet website the initial transferability report card required under that subsection.</w:t>
      </w:r>
    </w:p>
    <w:p w:rsidR="003F3435" w:rsidRDefault="0032493E">
      <w:pPr>
        <w:spacing w:line="480" w:lineRule="auto"/>
        <w:ind w:firstLine="720"/>
        <w:jc w:val="both"/>
      </w:pPr>
      <w:r>
        <w:t xml:space="preserve">(b)</w:t>
      </w:r>
      <w:r xml:space="preserve">
        <w:t> </w:t>
      </w:r>
      <w:r xml:space="preserve">
        <w:t> </w:t>
      </w:r>
      <w:r>
        <w:t xml:space="preserve">Not later than April 1, 2023, the Texas Higher Education Coordinating Board shall post on the board's Internet website the initial list required under Section 51.96854(d),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