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87R10812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1967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task force relating to reducing family violence by providing for the transfer of firearms.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72, Government Code, is amended by adding Subchapter H to read as follows:</w:t>
      </w:r>
    </w:p>
    <w:p w:rsidR="003F3435" w:rsidRDefault="0032493E">
      <w:pPr>
        <w:spacing w:line="480" w:lineRule="auto"/>
        <w:jc w:val="center"/>
      </w:pPr>
      <w:r>
        <w:rPr>
          <w:u w:val="single"/>
        </w:rPr>
        <w:t xml:space="preserve">SUBCHAPTER H.  TASK FORCE TO REDUCE FAMILY VIOLENCE BY CREATING STANDARDS RELATED TO FIREARMS TRANSFER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72.251.</w:t>
      </w:r>
      <w:r>
        <w:rPr>
          <w:u w:val="single"/>
        </w:rPr>
        <w:t xml:space="preserve"> </w:t>
      </w:r>
      <w:r>
        <w:rPr>
          <w:u w:val="single"/>
        </w:rPr>
        <w:t xml:space="preserve"> </w:t>
      </w:r>
      <w:r>
        <w:rPr>
          <w:u w:val="single"/>
        </w:rPr>
        <w:t xml:space="preserve">DEFINITIONS.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"Family violence"</w:t>
      </w:r>
      <w:r>
        <w:rPr>
          <w:u w:val="single"/>
        </w:rPr>
        <w:t xml:space="preserve"> </w:t>
      </w:r>
      <w:r>
        <w:rPr>
          <w:u w:val="single"/>
        </w:rPr>
        <w:t xml:space="preserve">has the meaning assigned by Section 71.004,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violence center" means a public or private nonprofit organization that provides, as its primary purpose, services, including the services under Section 51.005(b)(3), Human Resources Code, to victims of family violence, as defined by Section 51.002, Human Resources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"Firearm" has the meaning assigned by Section 46.01, Penal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"Task force" means the task force created under this subchapter relating to the transfer of firearms to reduce family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72.252.</w:t>
      </w:r>
      <w:r>
        <w:rPr>
          <w:u w:val="single"/>
        </w:rPr>
        <w:t xml:space="preserve"> </w:t>
      </w:r>
      <w:r>
        <w:rPr>
          <w:u w:val="single"/>
        </w:rPr>
        <w:t xml:space="preserve"> </w:t>
      </w:r>
      <w:r>
        <w:rPr>
          <w:u w:val="single"/>
        </w:rPr>
        <w:t xml:space="preserve">TASK FORCE MEMBERSHIP.  (a)  The task force is composed of 19 members appointed as provided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appoint to the task force: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who is a representative of the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from a statewide family violence advocacy organization.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appointed under Subsection (b) shall serve as presiding officers of the task force and shall jointly appoint the remaining 17 members of the task force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from the bureau of identification and records of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from nonprofit organizations that serve the victims of family violence, at least one of whom is an attorney licensed in this state whose practice includes the representation of victims of family violence applying for protective orders under Title 4,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from a family violence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is a judge or associate judge with experience hearing criminal proceedings relating to family violence;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who is a judge or associate judge with experience hearing proceedings relating to the issuance of a protective order under Title 4, Family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who is a prosecuting attorney with experience in prosecuting offenses involving family violence;</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who is a prosecuting attorney with experience in representing a person seeking a protective order under Title 4, Family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who is a magistrate with experience in proceedings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orders for emergency protection under Article 17.292, Code of Criminal Procedure;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conditions of bond in cases involving family violence;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member from a law enforcement agency;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member from the Texas Commission on Law Enforcement;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member from the Texas Center for the Judiciary;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one member from the Permanent Judicial Commission for Children, Youth and Families established by the supreme court;</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one member from the Texas Municipal Courts Education Center;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one member from the Texas Justice Court Training Center;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one member from the County and District Clerks' Association of Texas;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any other member whom the presiding officers determine to be appropriate and who consents to serve on the task force.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Appointed members of the task force serve at the will of the appointing authority.  A vacancy on the task force must be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72.253.</w:t>
      </w:r>
      <w:r>
        <w:rPr>
          <w:u w:val="single"/>
        </w:rPr>
        <w:t xml:space="preserve"> </w:t>
      </w:r>
      <w:r>
        <w:rPr>
          <w:u w:val="single"/>
        </w:rPr>
        <w:t xml:space="preserve"> </w:t>
      </w:r>
      <w:r>
        <w:rPr>
          <w:u w:val="single"/>
        </w:rPr>
        <w:t xml:space="preserve">MEETINGS; COMPENSATION.  (a)  The task force shall meet at the call of the presiding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Members of the task force serve without compensation or reimbursement for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72.254.</w:t>
      </w:r>
      <w:r>
        <w:rPr>
          <w:u w:val="single"/>
        </w:rPr>
        <w:t xml:space="preserve"> </w:t>
      </w:r>
      <w:r>
        <w:rPr>
          <w:u w:val="single"/>
        </w:rPr>
        <w:t xml:space="preserve"> </w:t>
      </w:r>
      <w:r>
        <w:rPr>
          <w:u w:val="single"/>
        </w:rPr>
        <w:t xml:space="preserve">DUTIES.  (a)  The task force shall develop policy recommendations, model forms, and guidelines for best practices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transfer or other disposition of a firearm a person is prohibited from possessing under a judgment or order issued as a result of or to prevent family violence,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protective order issued under Title 4,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magistrate's order of emergency protection issued under Article 17.292, Code of Criminal Procedure, that requires the defendant to transfer firearms for the duration of the order;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order setting the conditions of bond for a defendant charged with an offense involving family violence that requires the defendant to transfer firearms during the pendency of the case;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order granting community supervision to a defendant convicted of an offense involving family violence;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order placing the defendant on deferred adjudication community supervision for an offense involving family violence that requires the defendant to transfer firearms as a condition of deferred adjudication community supervision;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judgment of conviction for an offense involving family violence;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receipt, storage, and return or other disposition of a firearm transferred under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recommendations, forms, and guidelines required under this section,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prioritize the safety of victims of family violence and law enforcement personnel;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due process is provided;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specific guidance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policies and procedures for the transfer or other disposition of a firearm by a person subject to a judgment or order described by Subsection (a)(1);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policies and procedures for the receipt and disposition of a transferred firearm by a firearms dealer licensed under 18 U.S.C. Section 923 or a person not prohibited from possessing a firearm by state or federal law;</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policies and procedures for the receipt and storage of a transferred firearm by a law enforcement agency or other governmental entity and standards of care regarding the storage of the firearm;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policies and procedures for the return or other disposition of a transferred firearm by the law enforcement agency or other governmental entity storing the firearm after an order described by Subsection (a)(1) expires or is rescinded;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policies and procedures for compensating the owner of a firearm that is damaged or destroyed while in the possession of a law enforcement agency or other governmental entity or while in the possession of an entity operating under a contract with a governmental entity for the purpose of storing firearms;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verification that a person subject to a judgment or order described by Subsection (a)(1) has transferred or otherwise disposed of all firearms in the person's possession;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for an enforcement option if a verification is not made within 48 hours of the issuance of a judgment or order described by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shall make available all recommendations, forms, and guidelines developed under this section to all judges with jurisdiction over cases involving family violence in this state and all law enforcement agencies with jurisdiction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72.255.</w:t>
      </w:r>
      <w:r>
        <w:rPr>
          <w:u w:val="single"/>
        </w:rPr>
        <w:t xml:space="preserve"> </w:t>
      </w:r>
      <w:r>
        <w:rPr>
          <w:u w:val="single"/>
        </w:rPr>
        <w:t xml:space="preserve"> </w:t>
      </w:r>
      <w:r>
        <w:rPr>
          <w:u w:val="single"/>
        </w:rPr>
        <w:t xml:space="preserve">ADMINISTRATIVE SUPPORT.  The office shall provide reasonably necessary administrative and technical support for the activities of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72.256.</w:t>
      </w:r>
      <w:r>
        <w:rPr>
          <w:u w:val="single"/>
        </w:rPr>
        <w:t xml:space="preserve"> </w:t>
      </w:r>
      <w:r>
        <w:rPr>
          <w:u w:val="single"/>
        </w:rPr>
        <w:t xml:space="preserve"> </w:t>
      </w:r>
      <w:r>
        <w:rPr>
          <w:u w:val="single"/>
        </w:rPr>
        <w:t xml:space="preserve">ASSISTANCE WITH RECOMMENDATIONS.  The office shall seek the assistance of the task force before the office makes any recommendation as a result of the work done by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72.257.</w:t>
      </w:r>
      <w:r>
        <w:rPr>
          <w:u w:val="single"/>
        </w:rPr>
        <w:t xml:space="preserve"> </w:t>
      </w:r>
      <w:r>
        <w:rPr>
          <w:u w:val="single"/>
        </w:rPr>
        <w:t xml:space="preserve"> </w:t>
      </w:r>
      <w:r>
        <w:rPr>
          <w:u w:val="single"/>
        </w:rPr>
        <w:t xml:space="preserve">EXPIRATION DATE.  The task force is abolished and this subchapter expires on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appropriate persons shall appoint the members of the task force created by Subchapter H, Chapter 72,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