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1977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while confined in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31, Election Code, is amended by adding Section 31.125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31.125.</w:t>
      </w:r>
      <w:r>
        <w:rPr>
          <w:u w:val="single"/>
        </w:rPr>
        <w:t xml:space="preserve"> </w:t>
      </w:r>
      <w:r>
        <w:rPr>
          <w:u w:val="single"/>
        </w:rPr>
        <w:t xml:space="preserve"> </w:t>
      </w:r>
      <w:r>
        <w:rPr>
          <w:u w:val="single"/>
        </w:rPr>
        <w:t xml:space="preserve">VOTER EDUCATION FOR PERSONS CONFINED IN JAIL.  (a) The secretary of state, the authority in charge of the jail in each county, and the early voting clerk of each county shall take appropriate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each qualified voter confined in jail of the voter's right to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qualified voter an opportunity to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in charge of the jail shall allow a person who is qualified to vote and confined in jail access to a voter registrar or deputy voter registrar for the purpose of submitting an application to register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