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1984</w:t>
      </w:r>
    </w:p>
    <w:p w:rsidR="003F3435" w:rsidRDefault="0032493E">
      <w:pPr>
        <w:ind w:firstLine="720"/>
        <w:jc w:val="both"/>
      </w:pPr>
      <w:r>
        <w:t xml:space="preserve">(Anchia)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reassignment of the carryforward designation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designate as carryforward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reservation amount for which the board receives written notice from an issuer of an election to carry forward the reservation under Section 1372.042(c) if the bonds relating to the reservation are not required to close by December 31 of the year in which the reservation was granted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previously designated as carryforward under Subsection (a) for which the board receives written notice from an issuer of an election to reassign the carryforward designation under Section 1372.074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1372.074(a)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one year from the initial carryforward designation, an issuer may elect to reassign all or part of the carryforward designation </w:t>
      </w:r>
      <w:r>
        <w:rPr>
          <w:u w:val="single"/>
        </w:rPr>
        <w:t xml:space="preserve">in accordance with Section 1372.061(b)</w:t>
      </w:r>
      <w:r>
        <w:t xml:space="preserve"> to </w:t>
      </w:r>
      <w:r>
        <w:rPr>
          <w:u w:val="single"/>
        </w:rPr>
        <w:t xml:space="preserve">the issuer's next available application for a project</w:t>
      </w:r>
      <w:r>
        <w:t xml:space="preserve"> [</w:t>
      </w:r>
      <w:r>
        <w:rPr>
          <w:strike/>
        </w:rPr>
        <w:t xml:space="preserve">a new project</w:t>
      </w:r>
      <w:r>
        <w:t xml:space="preserve">] if the issuer provides: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designation on a form described by Section 1372.070;</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written </w:t>
      </w:r>
      <w:r>
        <w:rPr>
          <w:u w:val="single"/>
        </w:rPr>
        <w:t xml:space="preserve">withdrawal</w:t>
      </w:r>
      <w:r>
        <w:t xml:space="preserve"> request signed by an authorized representative of the issuer;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issuing board resolution authorizing the carryforward designation reassignment with an original signature by an officer of the issuer;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applicable fees under Section 1372.006;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opinion of legal counsel stating that the carryforward designation reassignment does not conflict with Section 146, Internal Revenue Code of 1986;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information required by the board.</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new</w:t>
      </w:r>
      <w:r>
        <w:t xml:space="preserve">] project that is reassigned a carryforward designation under this section must close within the time period allowed by the Internal Revenue Code of 1986.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