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qualifications for sheriffs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Section 1701.302, Occupations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(a-1), an</w:t>
      </w:r>
      <w:r>
        <w:t xml:space="preserve"> [</w:t>
      </w:r>
      <w:r>
        <w:rPr>
          <w:strike/>
        </w:rPr>
        <w:t xml:space="preserve">An</w:t>
      </w:r>
      <w:r>
        <w:t xml:space="preserve">] officer, including a sheriff, elected under the Texas Constitution or a statute or appointed to fill a vacancy in an elective office must obtain a license from the commission not later than [</w:t>
      </w:r>
      <w:r>
        <w:rPr>
          <w:strike/>
        </w:rPr>
        <w:t xml:space="preserve">the second anniversary of</w:t>
      </w:r>
      <w:r>
        <w:t xml:space="preserve">] the date the officer takes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described in Subsection (a) must obtain a license from the commission not later than the second anniversary of the date the officer takes office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serves a county with fewer than 50,000 people;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commissioner's court of the county served by the officer votes unanimously to waive the requirement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An officer subject to Subsection (a), Section 1701.302, Occupations Code, as amended by this Act, who holds office on the effective date of this Act must obtain a license from the Texas Commission on Law Enforcement by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