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1990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powers of certain freight rail districts.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171.053, Transportation Code, is amended to read as follows:</w:t>
      </w:r>
    </w:p>
    <w:p w:rsidR="003F3435" w:rsidRDefault="0032493E">
      <w:pPr>
        <w:spacing w:line="480" w:lineRule="auto"/>
        <w:ind w:firstLine="720"/>
        <w:jc w:val="both"/>
      </w:pPr>
      <w:r>
        <w:t xml:space="preserve">Sec.</w:t>
      </w:r>
      <w:r xml:space="preserve">
        <w:t> </w:t>
      </w:r>
      <w:r>
        <w:t xml:space="preserve">171.053.</w:t>
      </w:r>
      <w:r xml:space="preserve">
        <w:t> </w:t>
      </w:r>
      <w:r xml:space="preserve">
        <w:t> </w:t>
      </w:r>
      <w:r>
        <w:t xml:space="preserve">INTERMUNICIPAL COMMUTER RAIL DISTRICT POWERS.  The governing bodies of the county or counties and of the most populous municipality in the most populous county may provide that the district may exercise the powers of an intermunicipal commuter rail district created under Chapter 173 or former Article 6550c-1, Revised Statutes, including the powers related to a commuter rail facility and other types of passenger rail services </w:t>
      </w:r>
      <w:r>
        <w:rPr>
          <w:u w:val="single"/>
        </w:rPr>
        <w:t xml:space="preserve">and advanced transportation technologies</w:t>
      </w:r>
      <w:r>
        <w:t xml:space="preserve">, including intercity rail services, </w:t>
      </w:r>
      <w:r>
        <w:rPr>
          <w:u w:val="single"/>
        </w:rPr>
        <w:t xml:space="preserve">bus rapid transit, and other modes of service,</w:t>
      </w:r>
      <w:r>
        <w:t xml:space="preserve"> by specifying in the concurrent order or ordinance creating the district that those powers may be exercised by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