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87R25662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1990</w:t>
      </w:r>
    </w:p>
    <w:p w:rsidR="003F3435" w:rsidRDefault="0032493E">
      <w:pPr>
        <w:ind w:firstLine="720"/>
        <w:jc w:val="both"/>
      </w:pPr>
      <w:r>
        <w:t xml:space="preserve">(Thierry)</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1990:</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C.S.S.B.</w:t>
      </w:r>
      <w:r xml:space="preserve">
        <w:t> </w:t>
      </w:r>
      <w:r>
        <w:t xml:space="preserve">No.</w:t>
      </w:r>
      <w:r xml:space="preserve">
        <w:t> </w:t>
      </w:r>
      <w:r>
        <w:t xml:space="preserve">1990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of certain freight rail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171.053, Transportation Code, is amended to read as follows:</w:t>
      </w:r>
    </w:p>
    <w:p w:rsidR="003F3435" w:rsidRDefault="0032493E">
      <w:pPr>
        <w:spacing w:line="480" w:lineRule="auto"/>
        <w:ind w:firstLine="720"/>
        <w:jc w:val="both"/>
      </w:pPr>
      <w:r>
        <w:t xml:space="preserve">Sec.</w:t>
      </w:r>
      <w:r xml:space="preserve">
        <w:t> </w:t>
      </w:r>
      <w:r>
        <w:t xml:space="preserve">171.053.</w:t>
      </w:r>
      <w:r xml:space="preserve">
        <w:t> </w:t>
      </w:r>
      <w:r xml:space="preserve">
        <w:t> </w:t>
      </w:r>
      <w:r>
        <w:t xml:space="preserve">INTERMUNICIPAL COMMUTER RAIL DISTRICT POWERS </w:t>
      </w:r>
      <w:r>
        <w:rPr>
          <w:u w:val="single"/>
        </w:rPr>
        <w:t xml:space="preserve">AND ADVANCED TRANSPORTATION SERVICES</w:t>
      </w:r>
      <w:r>
        <w:t xml:space="preserve">.  The governing bodies of the county or counties and of the most populous municipality in the most populous county may provide that the district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exercise the powers of an intermunicipal commuter rail district created under Chapter 173 or former Article 6550c-1, Revised Statutes, including the powers related to a commuter rail facility and other types of passenger rail services, including intercity rail services, by specifying in the concurrent order or ordinance creating the district that those powers may be exercised by the district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provide advanced transportation, as defined by Section 451.701, by specifying in the concurrent order or ordinance creating the district that the district may provide those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