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87R14332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2001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enactment of a law that imposes a tax on certain transactions that either convey a security or involve specified derivative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101, Tax Code is amended by adding Section 101.010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101.010.</w:t>
      </w:r>
      <w:r>
        <w:rPr>
          <w:u w:val="single"/>
        </w:rPr>
        <w:t xml:space="preserve"> </w:t>
      </w:r>
      <w:r>
        <w:rPr>
          <w:u w:val="single"/>
        </w:rPr>
        <w:t xml:space="preserve"> </w:t>
      </w:r>
      <w:r>
        <w:rPr>
          <w:u w:val="single"/>
        </w:rPr>
        <w:t xml:space="preserve">Provisions Relating to Securities Market Operators  (a)  After January 1, 2022, no law may be enacted that imposes an occupation tax upon a Registered Securities Market Operator or a tax upon a securities transaction of a Registered Securities Market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"Registered Securities Market Operator" means a self-regulatory organization, national securities exchange, financial institution, alternative trading system, trade reporting facility, broker, dealer, clearing agency, or transfer agent, as those terms are defined in the Securities Exchange Act of 1934, 15 U.S.C. 78a et seq., or a board of trade, commodities pool operator, derivatives clearing organization, electronic trading facility, or organized exchange, as that term is defined in the Commodities Futures Exchange Act, 7 U.S.C. 1 et seq., or an affiliate, subsidiary, or facility thereof, to the extent that such Regulated Securities Market Operator is subject to registration with and regulation by the U.S. Securities and Exchange Commission or the U.S. Commodities Futures Trading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"security" or "securities" means the definition of that term set forth in the Securities Exchange Act of 1934, 15 U.S.C. § 78c(a)(10).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 "securities transaction" means the purchase or sale of securities by a Registered Securities Market Operator on behalf of a customer, any contract or agreement to do the same, and any service by a Registered Securities Market Operator to facilitate, match parties to, process, report, clear, or settle the purchase or sale of securities on behalf of a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 general business tax measured by business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a tax on the production of minerals;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imposition of a tax on insurance premiums;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imposition of a general sales tax on tangible personal property or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imposition of a fee based on the cost of processing documents;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of a rate of a tax in existence on January 1, 2022.</w:t>
      </w:r>
    </w:p>
    <w:p w:rsidR="003F3435" w:rsidRDefault="0032493E">
      <w:pPr>
        <w:spacing w:line="480" w:lineRule="auto"/>
        <w:jc w:val="both"/>
      </w:pPr>
      <w:r>
        <w:t xml:space="preserve">SECTIONA</w:t>
      </w:r>
      <w:r xml:space="preserve">
        <w:t> </w:t>
      </w:r>
      <w:r>
        <w:t xml:space="preserve">2</w:t>
      </w:r>
      <w:r>
        <w:t xml:space="preserve">.</w:t>
      </w:r>
      <w:r xml:space="preserve">
        <w:t> </w:t>
      </w:r>
      <w:r xml:space="preserve">
        <w:t> </w:t>
      </w:r>
      <w:r>
        <w:t xml:space="preserve">This Act takes effect January 1, 2022, but only if the constitutional amendment proposed by the 87th Legislature, Regular Session, 2021, to authorize the legislature to prohibiting the enactment of a law that imposes a tax on certain transactions that either convey a security or involve specified derivative contracts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