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2011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offense of interference with child custody and a peace officer's duties with respect to that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2.274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2.274.</w:t>
      </w:r>
      <w:r>
        <w:rPr>
          <w:u w:val="single"/>
        </w:rPr>
        <w:t xml:space="preserve"> </w:t>
      </w:r>
      <w:r>
        <w:rPr>
          <w:u w:val="single"/>
        </w:rPr>
        <w:t xml:space="preserve"> </w:t>
      </w:r>
      <w:r>
        <w:rPr>
          <w:u w:val="single"/>
        </w:rPr>
        <w:t xml:space="preserve">INTERFERENCE WITH CHILD CUSTODY REPORT.  (a) </w:t>
      </w:r>
      <w:r>
        <w:rPr>
          <w:u w:val="single"/>
        </w:rPr>
        <w:t xml:space="preserve"> </w:t>
      </w:r>
      <w:r>
        <w:rPr>
          <w:u w:val="single"/>
        </w:rPr>
        <w:t xml:space="preserve">On receiving a report of a violation of Section 25.03, Penal Code, a peace officer shall attempt to determine the whereabouts of the child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child's whereabouts are known, make contact with the alleged offender and locate and return the child to the person entitled to possession of or access to the child;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child's whereabouts are unknown, submit a missing child report under Chapter 63.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peace officer shall make a written report regarding an incident under this article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time, and location of the alleged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names of the alleged offender, the complainant, and each child who is the subject of the offense;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a court order disposing of the child's custody has been rendered;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applicable, the name of each party and each child subject to the court order described by Subdivision (3);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applicable, whether the court order described by Subdivision (3) has been filed with local law enforcement.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25.03, Penal Code, is amended by amending Subsection (c) and adding Subsections (c-3) and (c-4) to read as follows:</w:t>
      </w:r>
    </w:p>
    <w:p w:rsidR="003F3435" w:rsidRDefault="0032493E">
      <w:pPr>
        <w:spacing w:line="480" w:lineRule="auto"/>
        <w:ind w:firstLine="720"/>
        <w:jc w:val="both"/>
      </w:pPr>
      <w:r>
        <w:t xml:space="preserve">(c)</w:t>
      </w:r>
      <w:r xml:space="preserve">
        <w:t> </w:t>
      </w:r>
      <w:r xml:space="preserve">
        <w:t> </w:t>
      </w:r>
      <w:r>
        <w:t xml:space="preserve">It is a defense to prosecution under Subsection (a)(2) that the actor returned the child to the geographic area of the counties composing the judicial district if the court is a district court or the county if the court is a statutory county court, within </w:t>
      </w:r>
      <w:r>
        <w:rPr>
          <w:u w:val="single"/>
        </w:rPr>
        <w:t xml:space="preserve">one day</w:t>
      </w:r>
      <w:r>
        <w:t xml:space="preserve"> [</w:t>
      </w:r>
      <w:r>
        <w:rPr>
          <w:strike/>
        </w:rPr>
        <w:t xml:space="preserve">three days</w:t>
      </w:r>
      <w:r>
        <w:t xml:space="preserve">] after the date of the commission of the offense.</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It is an affirmative defense to prosecution under Subsection (a)(1)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actor's retention of the child was due to circumstances beyond the actor's control;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promptly provided notice or made other reasonable attempts to provide notice of the circumstances described by Subdivision (1) to the other person entitled to possession of or access to the child;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child was returned immediately to the other person entitled to possession of or access to the child when the circumstances described by Subdivision (1) no longer applied; and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circumstances described by Subdivision (1) are not foreseeable and regularly recurring.</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For purposes of Subsection (c-3)(4), it is presumed that the circumstances described by Subsection (c-3)(1) are foreseeable and regularly occurring if those circumstances have prevented the timely return of the child on three or more occasions in the 12-month period preceding the offense.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25.03(b), Penal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Article 2.274, Code of Criminal Procedure, as added by this Act, applies only to a report of a violation of Section 25.03, Penal Code, received by a peace officer on or after the effective date of this Act.</w:t>
      </w:r>
    </w:p>
    <w:p w:rsidR="003F3435" w:rsidRDefault="0032493E">
      <w:pPr>
        <w:spacing w:line="480" w:lineRule="auto"/>
        <w:ind w:firstLine="720"/>
        <w:jc w:val="both"/>
      </w:pPr>
      <w:r>
        <w:t xml:space="preserve">(b)</w:t>
      </w:r>
      <w:r xml:space="preserve">
        <w:t> </w:t>
      </w:r>
      <w:r xml:space="preserve">
        <w:t> </w:t>
      </w:r>
      <w:r>
        <w:t xml:space="preserve">The changes in law made by this Act to Section 25.03, Penal Code,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subsection,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