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87R12215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administrative penalties assessed against a substance use disorder service provider and to requiring the Health and Human Services Commission to provide administrative penalty schedules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"Substance use disorder service provider" means a person licensed or regulated under Chapter 464,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conduct a study to evaluate certain administrative penalties assessed by the commission against substance use disorder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conducting the study, the commission shall evaluate: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 of administrative penalties assessed against substance use disorder service providers on or before the repeal of 25 T.A.C. Sections 442.101, 442.102, 442.103, and 442.104 on March 1, 2020;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impact on substance use disorder service providers since March 1, 2020, of administrative penalties assessed against providers under the provisions listed in Subdivision (1) of this subsection;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economic impact on substance use disorder service providers of the change in the administrative penalty schedule since March 1, 2020;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effect of the changes described by Subdivisions (1), (2), and (3) of this subsection on the ability of a substance use disorder service provider to provide services in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whether the administrative penalty schedule relating to substance use disorder service providers adopted after March 1, 2020, is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January 1, 2022, the commission shall prepare and submit to the legislature a written report containing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464.019, Health and Safety Code, is amended by adding Subsection (s)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(s)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post on the commission's Internet website current administrative penalty schedules applicable to a person licensed or regulated under this chapter.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ensure that the administrative penalties listed in the posted schedules are accurate.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