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2013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12,</w:t>
      </w:r>
      <w:r xml:space="preserve">
        <w:t> </w:t>
      </w:r>
      <w:r>
        <w:t xml:space="preserve">2021; April</w:t>
      </w:r>
      <w:r xml:space="preserve">
        <w:t> </w:t>
      </w:r>
      <w:r>
        <w:t xml:space="preserve">1,</w:t>
      </w:r>
      <w:r xml:space="preserve">
        <w:t> </w:t>
      </w:r>
      <w:r>
        <w:t xml:space="preserve">2021, read first time and referred to Committee on Health &amp; Human Services;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Buckingham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Seliger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study on administrative penalties assessed against a substance use disorder service provider and to requiring the Health and Human Services Commission to provide administrative penalty schedules on the commission's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(a) </w:t>
      </w:r>
      <w:r>
        <w:t xml:space="preserve"> </w:t>
      </w:r>
      <w:r>
        <w:t xml:space="preserve">In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Health and Human Services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"Substance use disorder service provider" means a person licensed or regulated under Chapter 464, Health and Safety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shall conduct a study to evaluate certain administrative penalties assessed by the commission against substance use disorder service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 conducting the study, the commission shall evaluate: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effect of administrative penalties assessed against substance use disorder service providers on or before the repeal of 25 T.A.C. Sections 442.101, 442.102, 442.103, and 442.104 on March 1, 2020;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impact on substance use disorder service providers since March 1, 2020, of administrative penalties assessed against providers under the provisions listed in Subdivision (1) of this subsection;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economic impact on substance use disorder service providers of the change in the administrative penalty schedule since March 1, 2020;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effect of the changes described by Subdivisions (1), (2), and (3) of this subsection on the ability of a substance use disorder service provider to provide services in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whether the administrative penalty schedule relating to substance use disorder service providers adopted after March 1, 2020, is appropriate.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Not later than January 1, 2022, the commission shall prepare and submit to the legislature a written report containing the results of the study and any recommendations for legislative or other action.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This section expires September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464.019, Health and Safety Code, is amended by adding Subsection (s)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(s)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post on the commission's Internet website current administrative penalty schedules applicable to a person licensed or regulated under this chapter. </w:t>
      </w:r>
      <w:r>
        <w:rPr>
          <w:u w:val="single"/>
        </w:rPr>
        <w:t xml:space="preserve"> </w:t>
      </w:r>
      <w:r>
        <w:rPr>
          <w:u w:val="single"/>
        </w:rPr>
        <w:t xml:space="preserve">The commission shall ensure that the administrative penalties listed in the posted schedules are accurate.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2013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