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2493E">
      <w:pPr>
        <w:ind w:firstLine="720"/>
        <w:jc w:val="both"/>
      </w:pPr>
      <w:r>
        <w:t xml:space="preserve">(Paul)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provisions mandating the provision by certain health benefit plans of health benefits requiring cost defrayal by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1425, Insurance Code, is amended by adding Subchapter A, and a heading is added to that subchapter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</w:t>
      </w:r>
      <w:r>
        <w:rPr>
          <w:u w:val="single"/>
        </w:rPr>
        <w:t xml:space="preserve"> </w:t>
      </w:r>
      <w:r>
        <w:rPr>
          <w:u w:val="single"/>
        </w:rPr>
        <w:t xml:space="preserve">A.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EXCEPTED BENEFITS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1425.001 and 1425.002, Insurance Code, are transferred to Subchapter A, Chapter 1425,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1425, Insurance Code, is amended by adding Subchapter 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BENEFITS REQUIRING DEFRAYAL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1425.051.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"qualified health plan" has the meaning assigned by 45 C.F.R. Section 155.20.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1425.052.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FROM SUBTITLE FOR BENEFITS REQUIRING DEFRAYAL.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of this subtitle that is enacted on or after January 1, 2012,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requires the qualified health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must make payments to defray the cost of the additional benefits mandated by the provision.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determination described by Subsection (a) is made as to a qualified health plan, the provision to which the determination relates does not apply to a non-qualified health plan if the non-qualified health plan is offered in the same market as the qualified health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