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programs for fire detection and alarm device installation.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6002.052(b),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Under rules adopted under Section 6002.051, the department may create specialized licenses or registration certificates for an organization or individual engaged in the business of planning, certifying, leasing, selling, servicing, installing, monitoring, or maintaining fire alarm or fire detection devices or systems.  The rules must establish appropriate training and qualification standards </w:t>
      </w:r>
      <w:r>
        <w:rPr>
          <w:u w:val="single"/>
        </w:rPr>
        <w:t xml:space="preserve">and continuing education requirements</w:t>
      </w:r>
      <w:r>
        <w:t xml:space="preserve"> for each kind of license and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6002.159(b),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commissioner certifies continuing education programs under this section, the commissioner by rule shall require license holders to participate</w:t>
      </w:r>
      <w:r>
        <w:t xml:space="preserve"> [</w:t>
      </w:r>
      <w:r>
        <w:rPr>
          <w:strike/>
        </w:rPr>
        <w:t xml:space="preserve">Participation</w:t>
      </w:r>
      <w:r>
        <w:t xml:space="preserve">] in the [</w:t>
      </w:r>
      <w:r>
        <w:rPr>
          <w:strike/>
        </w:rPr>
        <w:t xml:space="preserve">continuing education</w:t>
      </w:r>
      <w:r>
        <w:t xml:space="preserve">] programs [</w:t>
      </w:r>
      <w:r>
        <w:rPr>
          <w:strike/>
        </w:rPr>
        <w:t xml:space="preserve">is voluntary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license issued or renewed on or after the effective date of this Act.  A license issued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