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2026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w:t>
      </w:r>
      <w:r>
        <w:rPr>
          <w:strike/>
        </w:rPr>
        <w:t xml:space="preserve">active</w:t>
      </w:r>
      <w:r>
        <w:t xml:space="preserve">] citizens who have an appreciation for the </w:t>
      </w:r>
      <w:r>
        <w:rPr>
          <w:u w:val="single"/>
        </w:rPr>
        <w:t xml:space="preserve">fundamental democratic principles</w:t>
      </w:r>
      <w:r>
        <w:t xml:space="preserve"> [</w:t>
      </w:r>
      <w:r>
        <w:rPr>
          <w:strike/>
        </w:rPr>
        <w:t xml:space="preserve">basic values</w:t>
      </w:r>
      <w:r>
        <w:t xml:space="preserve">]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5.001, Education Code, is amended by adding Subdivision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  If we abandon a representative democracy, our pledge of allegiance will be withdrawn as is stated in the Pledge of Allegiance, which swears devotion to a "republic".</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entirety of 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entirety of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the entirety of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entirety of Frederick Douglass's speeches The Meaning of July Fourth for the Negro and What the Black Man Wants;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entirety of Martin Luther King Jr.'s speech I Have a Dream.</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