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compliance history assessment made for purposes of allocating certain financial assistance administered by the Texas Department of Housing and Community Affairs.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2306.057, Government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The board shall fully document and disclose any instances in which the board approves a project application despite any noncompliance associated with the project, applicant, or affiliate </w:t>
      </w:r>
      <w:r>
        <w:rPr>
          <w:u w:val="single"/>
        </w:rPr>
        <w:t xml:space="preserve">that is reported by the department under Subsection (a)(2)</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project application seeking financial assistance administered through the department's multifamily housing programs, the department may not include in the report provided under Subsection (a)(2) any instance of noncompliance associated with a project of the applicant or affiliate of the applicant if the applicant or affiliate has submitted documentation, in a format acceptable to the department, demonstrating that the responsibility for project compliance was delegated to another participant in the project, including, if applicable, a related party as defined by Section 2306.6702.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amending Section 2306.057, Government Code, applies only to an application for financial assistance that is submitted to the Texas Department of Housing and Community Affairs on or after January 1, 2022.  An application for financial assistance that is submitted to the department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2046 passed the Senate on May</w:t>
      </w:r>
      <w:r xml:space="preserve">
        <w:t> </w:t>
      </w:r>
      <w:r>
        <w:t xml:space="preserve">5,</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2046 passed the House on May</w:t>
      </w:r>
      <w:r xml:space="preserve">
        <w:t> </w:t>
      </w:r>
      <w:r>
        <w:t xml:space="preserve">24,</w:t>
      </w:r>
      <w:r xml:space="preserve">
        <w:t> </w:t>
      </w:r>
      <w:r>
        <w:t xml:space="preserve">2021, by the following vote:</w:t>
      </w:r>
      <w:r xml:space="preserve">
        <w:t> </w:t>
      </w:r>
      <w:r xml:space="preserve">
        <w:t> </w:t>
      </w:r>
      <w:r>
        <w:t xml:space="preserve">Yeas</w:t>
      </w:r>
      <w:r xml:space="preserve">
        <w:t> </w:t>
      </w:r>
      <w:r>
        <w:t xml:space="preserve">93, Nays</w:t>
      </w:r>
      <w:r xml:space="preserve">
        <w:t> </w:t>
      </w:r>
      <w:r>
        <w:t xml:space="preserve">52,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