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87R7044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 ad litem for children who are in the juvenile justice system and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51.11, Family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court may appoint the guardian ad litem appointed under Chapter 107 for a child in a suit affecting the parent-child relationship filed by the Department of Family and Protective Services to serve as the guardian ad litem for the child in a proceeding held under this title.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guardian ad litem may not investigate any charges   involving the child that are pending with the juvenile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54.01(c), Family Code, is amended to read as follows:</w:t>
      </w:r>
    </w:p>
    <w:p w:rsidR="003F3435" w:rsidRDefault="0032493E">
      <w:pPr>
        <w:spacing w:line="480" w:lineRule="auto"/>
        <w:ind w:firstLine="720"/>
        <w:jc w:val="both"/>
      </w:pPr>
      <w:r>
        <w:t xml:space="preserve">(c)</w:t>
      </w:r>
      <w:r xml:space="preserve">
        <w:t> </w:t>
      </w:r>
      <w:r xml:space="preserve">
        <w:t> </w:t>
      </w:r>
      <w:r>
        <w:t xml:space="preserve">At the detention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Prior to the detention hearing, the court shall provide the attorney for the child with access to all written matter to be considered by the court in making the detention decision.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54.02(e), Family Code, is amended to read as follows:</w:t>
      </w:r>
    </w:p>
    <w:p w:rsidR="003F3435" w:rsidRDefault="0032493E">
      <w:pPr>
        <w:spacing w:line="480" w:lineRule="auto"/>
        <w:ind w:firstLine="720"/>
        <w:jc w:val="both"/>
      </w:pPr>
      <w:r>
        <w:t xml:space="preserve">(e)</w:t>
      </w:r>
      <w:r xml:space="preserve">
        <w:t> </w:t>
      </w:r>
      <w:r xml:space="preserve">
        <w:t> </w:t>
      </w:r>
      <w:r>
        <w:t xml:space="preserve">At the transfer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At least five days prior to the transfer hearing, the court shall provide the attorney for the child and the prosecuting attorney with access to all written matter to be considered by the court in making the transfer decision.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54.04(b), Family Code, is amended to read as follows:</w:t>
      </w:r>
    </w:p>
    <w:p w:rsidR="003F3435" w:rsidRDefault="0032493E">
      <w:pPr>
        <w:spacing w:line="480" w:lineRule="auto"/>
        <w:ind w:firstLine="720"/>
        <w:jc w:val="both"/>
      </w:pPr>
      <w:r>
        <w:t xml:space="preserve">(b)</w:t>
      </w:r>
      <w:r xml:space="preserve">
        <w:t> </w:t>
      </w:r>
      <w:r xml:space="preserve">
        <w:t> </w:t>
      </w:r>
      <w:r>
        <w:t xml:space="preserve">At the disposition hearing, the juvenile court, notwithstanding the Texas Rules of Evidence or Chapter 37, Code of Criminal Procedure, may consider written reports from probation officers, professional court employees, </w:t>
      </w:r>
      <w:r>
        <w:rPr>
          <w:u w:val="single"/>
        </w:rPr>
        <w:t xml:space="preserve">guardians ad litem appointed under Section 51.11(d),</w:t>
      </w:r>
      <w:r>
        <w:t xml:space="preserve"> or professional consultants in addition to the testimony of witnesses. On or before the second day before the date of the disposition hearing, the court shall provide the attorney for the child and the prosecuting attorney with access to all written matter to be considered by the court in disposition.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54.05(e), Family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on the merits or facts, the court may consider written reports from probation officers, professional court employees, </w:t>
      </w:r>
      <w:r>
        <w:rPr>
          <w:u w:val="single"/>
        </w:rPr>
        <w:t xml:space="preserve">guardians ad litem appointed under Section 51.11(d),</w:t>
      </w:r>
      <w:r>
        <w:t xml:space="preserve"> or professional consultants in addition to the testimony of other witnesses. On or before the second day before the date of the hearing to modify disposition, the court shall provide the attorney for the child and the prosecuting attorney with access to all written matter to be considered by the court in deciding whether to modify disposition.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54.11(d), Family Code, is amended to read as follows:</w:t>
      </w:r>
    </w:p>
    <w:p w:rsidR="003F3435" w:rsidRDefault="0032493E">
      <w:pPr>
        <w:spacing w:line="480" w:lineRule="auto"/>
        <w:ind w:firstLine="720"/>
        <w:jc w:val="both"/>
      </w:pPr>
      <w:r>
        <w:t xml:space="preserve">(d)</w:t>
      </w:r>
      <w:r xml:space="preserve">
        <w:t> </w:t>
      </w:r>
      <w:r xml:space="preserve">
        <w:t> </w:t>
      </w:r>
      <w:r>
        <w:t xml:space="preserve">At a hearing under this section the court may consider written reports and supporting documents from probation officers, professional court employees, </w:t>
      </w:r>
      <w:r>
        <w:rPr>
          <w:u w:val="single"/>
        </w:rPr>
        <w:t xml:space="preserve">guardians ad litem appointed under Section 51.11(d),</w:t>
      </w:r>
      <w:r>
        <w:t xml:space="preserve"> professional consultants, employees of the Texas Juvenile Justice Department, or employees of a post-adjudication secure correctional facility in addition to the testimony of witnesses. On or before the fifth day before the date of the hearing, the court shall provide the attorney for the person to be transferred or released under supervision with access to all written matter to be considered by the court. All written matter is admissible in evidence at the hearing.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107.011, Family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appoint the person appointed as guardian ad litem for the child under Section 51.11 to also serve as the guardian ad litem for the child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guardian ad litem appointed under this section for a child may not investigate any pending criminal or juvenile charges involving the child.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