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bullying and cyberbullying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37.0832, Education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board of trustees of each school district shall adopt a policy, including any necessary procedures, concerning bullying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prohibits the bullying of a student;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prevents and mediates bullying incidents between students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interfere with a student's educational opportunities;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substantially disrupt the orderly operation of a classroom, school, or school-sponsored or school-related activity;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retaliation against any person, including a victim, a witness, or another person, who in good faith provides information concerning an incident of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a procedure for providing notice of an incident of bullying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parent or guardian of the alleged victim on or before the third business day after the date the incident is reported;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parent or guardian of the alleged bully within a reasonable amount of time after the incident;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the actions a student should take to obtain assistance and intervention in response to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sets out the available counseling options for a student who is a victim of or a witness to bullying or who engages in 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 xml:space="preserve">
        <w:t> </w:t>
      </w: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establishes procedures for reporting an incident of bullying, including procedures for a student to anonymously report an incident of bullying, investigating a reported incident of bullying, and determining whether the reported incident of bullying occurred;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 xml:space="preserve">
        <w:t> </w:t>
      </w:r>
      <w:r>
        <w:t xml:space="preserve">[</w:t>
      </w:r>
      <w:r>
        <w:rPr>
          <w:strike/>
        </w:rPr>
        <w:t xml:space="preserve">(7)</w:t>
      </w:r>
      <w:r>
        <w:t xml:space="preserve">]</w:t>
      </w:r>
      <w:r xml:space="preserve">
        <w:t> </w:t>
      </w:r>
      <w:r xml:space="preserve">
        <w:t> </w:t>
      </w:r>
      <w:r>
        <w:t xml:space="preserve">prohibits the imposition of a disciplinary measure on a student who, after an investigation, is found to be a victim of bullying, on the basis of that student's use of reasonable self-defense in response to the bullying;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requires that discipline for bullying of a student with disabilities comply with applicable requirements under federal law, including the Individuals with Disabilities Education Act (20 U.S.C. Section 1400 et seq.)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the minimum standards adopted by the agency under Subsection (c-1)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minimum standards for a school district's policy under Subsection (c). The standards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bullying prevention by focusing on school climate and building healthy relationships between students and staff;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annual bullying prevention training for district employees and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each district campus to establish a committee to address bullying by focusing on prevention efforts and health and wellness initiatives;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students at each grade level to meet periodically for instruction on building relationships and preventing bullying, including cyberbullying;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an emphasis on increasing student reporting of bullying incidents to school employees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increasing awareness about district reporting procedures;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for anonymous reporting of bullying incidents;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collect information annually through student surveys on bullying, including cyberbullying;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those survey results to develop action plans to address student concerns regarding bullying, including cyberbullying;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districts to develop a rubric or checklist to assess an incident of bullying and to determine the district's response to the incident.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48.009, Education Code, is amended by adding Subsection (b-4)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37.0832(f),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