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2021S0196-1  03/11/21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2050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prevention of and the reporting of incidents of bullying committed by public school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37.0052(b),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student </w:t>
      </w:r>
      <w:r>
        <w:rPr>
          <w:u w:val="single"/>
        </w:rPr>
        <w:t xml:space="preserve">shall</w:t>
      </w:r>
      <w:r>
        <w:t xml:space="preserve"> [</w:t>
      </w:r>
      <w:r>
        <w:rPr>
          <w:strike/>
        </w:rPr>
        <w:t xml:space="preserve">may</w:t>
      </w:r>
      <w:r>
        <w:t xml:space="preserve">] be removed from class and placed in a disciplinary alternative education program as provided by Section 37.008 or expelled if the student: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engages in bullying that encourages a student to commit or attempt to commit suicide;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incites violence against a student through group bullying;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releases or threatens to release intimate visual material of a minor or a student who is 18 years of age or older without the student's consent.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37.0151(a),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principal of a public primary or secondary school, or a person designated by the principal under Subsection (c), </w:t>
      </w:r>
      <w:r>
        <w:rPr>
          <w:u w:val="single"/>
        </w:rPr>
        <w:t xml:space="preserve">shall</w:t>
      </w:r>
      <w:r>
        <w:t xml:space="preserve"> [</w:t>
      </w:r>
      <w:r>
        <w:rPr>
          <w:strike/>
        </w:rPr>
        <w:t xml:space="preserve">may</w:t>
      </w:r>
      <w:r>
        <w:t xml:space="preserve">] make a report to any school district police department, if applicable, or the police department of the municipality in which the school is located or, if the school is not in a municipality, the sheriff of the county in which the school is located if, after an investigation is completed, the principal has reasonable grounds to believe that a student engaged in conduct that constitutes an offense under Section 22.01 or 42.07(a)(7),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37.0832(f),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Each school district </w:t>
      </w:r>
      <w:r>
        <w:rPr>
          <w:u w:val="single"/>
        </w:rPr>
        <w:t xml:space="preserve">shall</w:t>
      </w:r>
      <w:r>
        <w:t xml:space="preserve"> [</w:t>
      </w:r>
      <w:r>
        <w:rPr>
          <w:strike/>
        </w:rPr>
        <w:t xml:space="preserve">may</w:t>
      </w:r>
      <w:r>
        <w:t xml:space="preserve">] establish a district-wide policy to assist in the prevention and mediation of bullying incidents between students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interfere with a student's educational opportunities;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substantially disrupt the orderly operation of a classroom, school, or school-sponsored or school-related activity.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