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87R6597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and requirements for certain courses and educational programs offered in public schools, including courses offered through the state virtual school network.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26.0031(c-1),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 school district or open-enrollment charter school may decline to pay the cost for a student of more than three yearlong electronic courses, or the equivalent, during any school year. </w:t>
      </w:r>
      <w:r>
        <w:t xml:space="preserve"> </w:t>
      </w:r>
      <w:r>
        <w:t xml:space="preserve">This subsection does not:</w:t>
      </w:r>
    </w:p>
    <w:p w:rsidR="003F3435" w:rsidRDefault="0032493E">
      <w:pPr>
        <w:spacing w:line="480" w:lineRule="auto"/>
        <w:ind w:firstLine="1440"/>
        <w:jc w:val="both"/>
      </w:pPr>
      <w:r>
        <w:t xml:space="preserve">(1)</w:t>
      </w:r>
      <w:r xml:space="preserve">
        <w:t> </w:t>
      </w:r>
      <w:r xml:space="preserve">
        <w:t> </w:t>
      </w:r>
      <w:r>
        <w:t xml:space="preserve">limit the ability of the student to enroll in additional electronic courses at the student's cost; or</w:t>
      </w:r>
    </w:p>
    <w:p w:rsidR="003F3435" w:rsidRDefault="0032493E">
      <w:pPr>
        <w:spacing w:line="480" w:lineRule="auto"/>
        <w:ind w:firstLine="1440"/>
        <w:jc w:val="both"/>
      </w:pPr>
      <w:r>
        <w:t xml:space="preserve">(2)</w:t>
      </w:r>
      <w:r xml:space="preserve">
        <w:t> </w:t>
      </w:r>
      <w:r xml:space="preserve">
        <w:t> </w:t>
      </w:r>
      <w:r>
        <w:t xml:space="preserve">apply to a student enrolled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full-time online program that was operating on January 1, 2013</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or school that has fewer than 1,600 students in average daily attendance for the current school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State Board of Education shall by rule require each district to make available to each eighth grade student in the district an Algebra I course. </w:t>
      </w:r>
      <w:r>
        <w:rPr>
          <w:u w:val="single"/>
        </w:rPr>
        <w:t xml:space="preserve"> </w:t>
      </w:r>
      <w:r>
        <w:rPr>
          <w:u w:val="single"/>
        </w:rPr>
        <w:t xml:space="preserve">Notwithstanding Section 7.056(e), the commissioner may grant a district a temporary waiver from the requirements of this subsection if necessary,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28.0161.</w:t>
      </w:r>
      <w:r>
        <w:rPr>
          <w:u w:val="single"/>
        </w:rPr>
        <w:t xml:space="preserve"> </w:t>
      </w:r>
      <w:r>
        <w:rPr>
          <w:u w:val="single"/>
        </w:rPr>
        <w:t xml:space="preserve"> </w:t>
      </w:r>
      <w:r>
        <w:rPr>
          <w:u w:val="single"/>
        </w:rPr>
        <w:t xml:space="preserve">NOTIFICATION REGARDING COURSE PATHWAYS AND CAREER CHOICES.  Each school year, a school district shall provide to each district student entering grades 6 through 10 and the student's parent or guardian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courses offered as part of the foundation curriculum adopted under Section 28.002(a)(1) and available at the campus attended by the student and at any high school campus that the student is expected to attend;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potential career choices and the curriculum requirements and courses needed to pursue those careers.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28, Education Code, is amended by adding Section  28.028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28.028.</w:t>
      </w:r>
      <w:r>
        <w:rPr>
          <w:u w:val="single"/>
        </w:rPr>
        <w:t xml:space="preserve"> </w:t>
      </w:r>
      <w:r>
        <w:rPr>
          <w:u w:val="single"/>
        </w:rPr>
        <w:t xml:space="preserve"> </w:t>
      </w:r>
      <w:r>
        <w:rPr>
          <w:u w:val="single"/>
        </w:rPr>
        <w:t xml:space="preserve">POSTING OF ADVANCED COURSEWORK INFORMATION.  (a) </w:t>
      </w:r>
      <w:r>
        <w:rPr>
          <w:u w:val="single"/>
        </w:rPr>
        <w:t xml:space="preserve"> </w:t>
      </w:r>
      <w:r>
        <w:rPr>
          <w:u w:val="single"/>
        </w:rPr>
        <w:t xml:space="preserve">Not later than September 1 of each year, the agency shall post  information to the agency's Internet website on the number of students who, during the previous school year, were enrolled in or accepted into: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educational program for gifted and talented students under Subchapter D, Chapter 29;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Algebra I course as an eighth grade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Algebra II or precalculus course or other advanced mathematics course;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advanced placement course;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international baccalaureate course;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OnRamps dual enrollment course or other dual credit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shall include the percentage of students who received a passing score in the course or who remained in the program, as applicable, and must be aggregated by campus, district, and grade level and disaggregated by student race, sex, ethnicity, grade level, and socioeconomic status.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posting information under this section, the agency must comply with all state and federal  privacy laws applicable to student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30A.153(a-1),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a school district or open-enrollment charter school is limited to the funding described by that subsection for a student's enrollment in not more than three electronic courses during any school year,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student is enrolled in a full-time online program that was operating on January 1, 2013</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has fewer than 1,600 students in average daily attendance for the current school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State Board of Education shall adopt rules necessary to implement the requirements of Section 28.002(c-4),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