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87R8519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Mental Illness and Intellectual or Developmental Disability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7, Health and Safety Code, is amended by adding Chapter 535 to read as follows:</w:t>
      </w:r>
    </w:p>
    <w:p w:rsidR="003F3435" w:rsidRDefault="0032493E">
      <w:pPr>
        <w:spacing w:line="480" w:lineRule="auto"/>
        <w:jc w:val="center"/>
      </w:pPr>
      <w:r>
        <w:rPr>
          <w:u w:val="single"/>
        </w:rPr>
        <w:t xml:space="preserve">CHAPTER 535. MENTAL ILLNESS AND INTELLECTUAL OR DEVELOPMENTAL DISABILITY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535.001.</w:t>
      </w:r>
      <w:r>
        <w:rPr>
          <w:u w:val="single"/>
        </w:rPr>
        <w:t xml:space="preserve"> </w:t>
      </w:r>
      <w:r>
        <w:rPr>
          <w:u w:val="single"/>
        </w:rPr>
        <w:t xml:space="preserve"> </w:t>
      </w:r>
      <w:r>
        <w:rPr>
          <w:u w:val="single"/>
        </w:rPr>
        <w:t xml:space="preserve">DEFINITION.  In this chapter, "advisory council" means the Mental Illness and Intellectual or Developmental Disability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535.002.</w:t>
      </w:r>
      <w:r>
        <w:rPr>
          <w:u w:val="single"/>
        </w:rPr>
        <w:t xml:space="preserve"> </w:t>
      </w:r>
      <w:r>
        <w:rPr>
          <w:u w:val="single"/>
        </w:rPr>
        <w:t xml:space="preserve"> </w:t>
      </w:r>
      <w:r>
        <w:rPr>
          <w:u w:val="single"/>
        </w:rPr>
        <w:t xml:space="preserve">ESTABLISHMENT OF ADVISORY COUNCIL.  The Mental Illness and Intellectual or Developmental Disability Advisory Council is established to advise the commission and the legislature on best practices in providing care to individuals with co-occurring mental illness and intellectual or developmental disabilities.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535.003.</w:t>
      </w:r>
      <w:r>
        <w:rPr>
          <w:u w:val="single"/>
        </w:rPr>
        <w:t xml:space="preserve"> </w:t>
      </w:r>
      <w:r>
        <w:rPr>
          <w:u w:val="single"/>
        </w:rPr>
        <w:t xml:space="preserve"> </w:t>
      </w:r>
      <w:r>
        <w:rPr>
          <w:u w:val="single"/>
        </w:rPr>
        <w:t xml:space="preserve">APPOINTMENT OF ADVISORY COUNCIL MEMBERS.  The advisory council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commissioner of education;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executive director of the Texas Department of Criminal Justice;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Governor's Committee on People with Disabilities appointed by the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individual considered necessary by the governor, appointed by the governor;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following members appointed by the executive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representing an advocacy organization in this state supporting individuals with intellectual or developmental disabilities;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representing an advocacy organization in this state supporting individuals experiencing mental illness;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representing an advocacy organization in this state supporting individuals involved in the criminal justice system;</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representing a local mental health authority;</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representing a local intellectual and developmental disability authority;</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parent or family member of a person with co-occurring mental illness and intellectual or developmental disabilities;</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member who is a person with an intellectual or developmental disability who has personally experienced mental illness;</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member who is a licensed health care provider with experience treating individuals with co-occurring mental illness and intellectual or developmental disabilities;</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member who is a licensed social worker, as defined by Section 505.002, Occupations Code;</w:t>
      </w:r>
      <w:r>
        <w:t xml:space="preserve"> </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member who is a teacher certified in special education under Subchapter B, Chapter 21, Education Code;</w:t>
      </w:r>
      <w:r>
        <w:t xml:space="preserve"> </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member who is a representative of a public institution of higher education in this state that is a member of one of the University Centers for Excellence in Developmental Disabilities Education, Research, and Service;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member who has experience researching the mental health needs of individuals with an intellectual or developmental disability.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535.004.</w:t>
      </w:r>
      <w:r>
        <w:rPr>
          <w:u w:val="single"/>
        </w:rPr>
        <w:t xml:space="preserve"> </w:t>
      </w:r>
      <w:r>
        <w:rPr>
          <w:u w:val="single"/>
        </w:rPr>
        <w:t xml:space="preserve"> </w:t>
      </w:r>
      <w:r>
        <w:rPr>
          <w:u w:val="single"/>
        </w:rPr>
        <w:t xml:space="preserve">TERMS; VACANCY. (a) The advisory council shall select a presiding officer from among the advisory council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advisory council shall serve two-year terms.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advisory council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appointed to fill a vacancy holds the office for the unexpired portion of the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member may be reappointed to serve on the advisory council by the appropriate appointing authority as provided by Section 535.003.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535.005.</w:t>
      </w:r>
      <w:r>
        <w:rPr>
          <w:u w:val="single"/>
        </w:rPr>
        <w:t xml:space="preserve"> </w:t>
      </w:r>
      <w:r>
        <w:rPr>
          <w:u w:val="single"/>
        </w:rPr>
        <w:t xml:space="preserve"> </w:t>
      </w:r>
      <w:r>
        <w:rPr>
          <w:u w:val="single"/>
        </w:rPr>
        <w:t xml:space="preserve">MEETINGS; QUORUM. (a) The advisory council shall meet at times and locations as determined by the presiding officer or by a majority of the members of the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of the advisory council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535.006.</w:t>
      </w:r>
      <w:r>
        <w:rPr>
          <w:u w:val="single"/>
        </w:rPr>
        <w:t xml:space="preserve"> </w:t>
      </w:r>
      <w:r>
        <w:rPr>
          <w:u w:val="single"/>
        </w:rPr>
        <w:t xml:space="preserve"> </w:t>
      </w:r>
      <w:r>
        <w:rPr>
          <w:u w:val="single"/>
        </w:rPr>
        <w:t xml:space="preserve">ADMINISTRATIVE SUPPORT. </w:t>
      </w:r>
      <w:r>
        <w:rPr>
          <w:u w:val="single"/>
        </w:rPr>
        <w:t xml:space="preserve"> </w:t>
      </w:r>
      <w:r>
        <w:rPr>
          <w:u w:val="single"/>
        </w:rPr>
        <w:t xml:space="preserve">The commission shall provide administrative support to the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535.007.</w:t>
      </w:r>
      <w:r>
        <w:rPr>
          <w:u w:val="single"/>
        </w:rPr>
        <w:t xml:space="preserve"> </w:t>
      </w:r>
      <w:r>
        <w:rPr>
          <w:u w:val="single"/>
        </w:rPr>
        <w:t xml:space="preserve"> </w:t>
      </w:r>
      <w:r>
        <w:rPr>
          <w:u w:val="single"/>
        </w:rPr>
        <w:t xml:space="preserve">ANNUAL REPORT.  Not later than December 1 of each year, the advisory council shall prepare and submit to the governor, lieutenant governor, legislature, commission, and other relevant state agencies or stakeholders a written report that includes recommendations on ensuring that comprehensive and integrated mental health and intellectual or developmental disability services in this state are available and provided using a person-centered approach in institutional, public, and private settings.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the commissioner of education, the executive commissioner of the Health and Human Services Commission, and the executive director of the Texas Department of Criminal Justice shall appoint members to the Mental Illness and Intellectual or Developmental Disability Advisory Council, as required by Chapter 535,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