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87R11340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charging of higher prices by retail electric providers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17.46(b),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w:t>
      </w:r>
    </w:p>
    <w:p w:rsidR="003F3435" w:rsidRDefault="0032493E">
      <w:pPr>
        <w:spacing w:line="480" w:lineRule="auto"/>
        <w:ind w:firstLine="1440"/>
        <w:jc w:val="both"/>
      </w:pPr>
      <w:r>
        <w:t xml:space="preserve">(27)</w:t>
      </w:r>
      <w:r xml:space="preserve">
        <w:t> </w:t>
      </w:r>
      <w:r xml:space="preserve">
        <w:t> </w:t>
      </w:r>
      <w:r>
        <w:t xml:space="preserve">subject to Section 17.4625, taking advantage of a disaster declared by the governor under Chapter 418, Government Code, or by the president of the United States by:</w:t>
      </w:r>
    </w:p>
    <w:p w:rsidR="003F3435" w:rsidRDefault="0032493E">
      <w:pPr>
        <w:spacing w:line="480" w:lineRule="auto"/>
        <w:ind w:firstLine="2160"/>
        <w:jc w:val="both"/>
      </w:pPr>
      <w:r>
        <w:t xml:space="preserve">(A)</w:t>
      </w:r>
      <w:r xml:space="preserve">
        <w:t> </w:t>
      </w:r>
      <w:r xml:space="preserve">
        <w:t> </w:t>
      </w:r>
      <w:r>
        <w:t xml:space="preserve">selling or leasing fuel, food, medicine, lodging, building materials, construction tools, or another necessity at an exorbitant or excessive price;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lodging, building materials, construction tools, or another necessity;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selling electricity as a retail electric provider under a contract that allows for the charging of prices that are at least 300 percent more than the average price charged by the provider during the month immediately preceding the date of the declaration of the disaster;</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 or</w:t>
      </w:r>
    </w:p>
    <w:p w:rsidR="003F3435" w:rsidRDefault="0032493E">
      <w:pPr>
        <w:spacing w:line="480" w:lineRule="auto"/>
        <w:ind w:firstLine="1440"/>
        <w:jc w:val="both"/>
      </w:pPr>
      <w:r>
        <w:t xml:space="preserve">(34)</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contract that is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