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87R11824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prevention of and response to blackout conditions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ENSURING RESERVE POWER CAPACITY.  (a) The commission by rule shall develop a process for obtaining emergency reserve power generation capacity as appropriate to prevent blackout conditions caused by shortages of generated power in the ERCOT power region.  The rules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parameters for estimating the amount of emergency reserve power generation capacity necessary to prevent blackout conditions;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for equitably sharing the costs of making the reserve capacity available and the costs of generated power provided to prevent blackout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under Subsection (a), an independent organization certified under Section 39.151 for the ERCOT power region shall adopt procedures and enter contracts as necessary to ensure the availability of a defined amount of emergency reserve power generation capacity the organization may call on to prevent blackouts caused by shortages of generated power.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independent organization calls on the emergency reserve power generation capacity to prevent blackout conditions, the organization shall use all other sources of power and demand reduction available in accordance with commission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39, Utilities Code, is amended by adding Section 39.9031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39.9031.</w:t>
      </w:r>
      <w:r>
        <w:rPr>
          <w:u w:val="single"/>
        </w:rPr>
        <w:t xml:space="preserve"> </w:t>
      </w:r>
      <w:r>
        <w:rPr>
          <w:u w:val="single"/>
        </w:rPr>
        <w:t xml:space="preserve"> </w:t>
      </w:r>
      <w:r>
        <w:rPr>
          <w:u w:val="single"/>
        </w:rPr>
        <w:t xml:space="preserve">DISASTER BILL PAYMENT ASSISTANCE.  (a)  The commission shall establish a program to provide bill payment assistance using state money appropriated for that purpose to retail customers of municipally owned utilities, electric cooperatives, and retail electric providers in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assistance only for unusually high bills for services provided after February 13, 2021, and before February 19, 2021, to low-income customers;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criteria for determining whether a bill is unusually high;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a customer to apply for assistance to the municipally owned utility, electric cooperative, or retail electric provider that served the customer during the time period in Subdivision (1);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municipally owned utility, electric cooperative, or retail electric provider that receives an application under Subdivision (3)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submit the application to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to the customer any assistance sent by the commission to the utility, cooperative, or provider in response to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consult with the counsellor to adopt appropriate criteria for designating a customer as low-income for the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