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87R12057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12.051(a),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composed of </w:t>
      </w:r>
      <w:r>
        <w:rPr>
          <w:u w:val="single"/>
        </w:rPr>
        <w:t xml:space="preserve">five</w:t>
      </w:r>
      <w:r>
        <w:t xml:space="preserve"> [</w:t>
      </w:r>
      <w:r>
        <w:rPr>
          <w:strike/>
        </w:rPr>
        <w:t xml:space="preserve">three</w:t>
      </w:r>
      <w:r>
        <w:t xml:space="preserve">] commissioners appointed by the governor with the advice and consent of the senate</w:t>
      </w:r>
      <w:r>
        <w:rPr>
          <w:u w:val="single"/>
        </w:rPr>
        <w:t xml:space="preserv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commissioners of the political party whose candidate for governor received the most votes in the most recent gubernatorial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commissioners of the political party whose candidate for governor received the second most votes in the most recent gubernatorial election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governor shall promptly appoint two commissioners to the Public Utility Commission of Texas in accordance with Section 12.051, Utilities Code, as amended by this Act.  The governor shall designate one commissioner to a term that expires September 1, 2025, and one commissioner to a term that expires September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