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Blanco</w:t>
      </w:r>
      <w:r xml:space="preserve">
        <w:tab wTab="150" tlc="none" cTlc="0"/>
      </w:r>
      <w:r>
        <w:t xml:space="preserve">S.B.</w:t>
      </w:r>
      <w:r xml:space="preserve">
        <w:t> </w:t>
      </w:r>
      <w:r>
        <w:t xml:space="preserve">No.</w:t>
      </w:r>
      <w:r xml:space="preserve">
        <w:t> </w:t>
      </w:r>
      <w:r>
        <w:t xml:space="preserve">2081</w:t>
      </w:r>
    </w:p>
    <w:p w:rsidR="003F3435" w:rsidRDefault="0032493E">
      <w:pPr>
        <w:jc w:val="both"/>
      </w:pPr>
      <w:r xml:space="preserve">
        <w:t> </w:t>
      </w:r>
      <w:r xml:space="preserve">
        <w:t> </w:t>
      </w:r>
      <w:r xml:space="preserve">
        <w:t> </w:t>
      </w:r>
      <w:r xml:space="preserve">
        <w:t> </w:t>
      </w:r>
      <w:r xml:space="preserve">
        <w:t> </w:t>
      </w:r>
      <w:r>
        <w:t xml:space="preserve">Zaffirini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class size limits for prekindergarten classes provided by or on behalf of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25.112(a),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authorized by this section, a school district may not enroll more than 22 students in a </w:t>
      </w:r>
      <w:r>
        <w:rPr>
          <w:u w:val="single"/>
        </w:rPr>
        <w:t xml:space="preserve">prekindergarten,</w:t>
      </w:r>
      <w:r>
        <w:t xml:space="preserve"> kindergarten, first, second, third, or fourth grade class. </w:t>
      </w:r>
      <w:r>
        <w:t xml:space="preserve"> </w:t>
      </w:r>
      <w:r>
        <w:t xml:space="preserve">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daily attendance is adjusted under Section 48.005(c);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29.1532(b),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a school district contracts with a private entity for the operation of the district's prekindergarten program, the program must at a minimum comply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applicable child-care licensing standards adopted by the Department of </w:t>
      </w:r>
      <w:r>
        <w:rPr>
          <w:u w:val="single"/>
        </w:rPr>
        <w:t xml:space="preserve">Family and</w:t>
      </w:r>
      <w:r>
        <w:t xml:space="preserve"> </w:t>
      </w:r>
      <w:r>
        <w:t xml:space="preserve">Protective [</w:t>
      </w:r>
      <w:r>
        <w:rPr>
          <w:strike/>
        </w:rPr>
        <w:t xml:space="preserve">and Regulatory</w:t>
      </w:r>
      <w:r>
        <w:t xml:space="preserve">] Services under Section 42.042, Human Resources Code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class size requirement for prekindergarten classes imposed under Section 25.112(a)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29.171(c),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prekindergarten program provided by a private provider under this section is subject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requirements of this subchapter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class size requirement for prekindergarten classes imposed under Section 25.112(a)</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12.056(b),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campus or program for which a charter is granted under this subchapter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 and</w:t>
      </w:r>
    </w:p>
    <w:p w:rsidR="003F3435" w:rsidRDefault="0032493E">
      <w:pPr>
        <w:spacing w:line="480" w:lineRule="auto"/>
        <w:ind w:firstLine="1440"/>
        <w:jc w:val="both"/>
      </w:pPr>
      <w:r>
        <w:t xml:space="preserve">(2)</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high school graduation under Section 28.025;</w:t>
      </w:r>
    </w:p>
    <w:p w:rsidR="003F3435" w:rsidRDefault="0032493E">
      <w:pPr>
        <w:spacing w:line="480" w:lineRule="auto"/>
        <w:ind w:firstLine="2160"/>
        <w:jc w:val="both"/>
      </w:pPr>
      <w:r>
        <w:t xml:space="preserve">(D)</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(E)</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(F)</w:t>
      </w:r>
      <w:r xml:space="preserve">
        <w:t> </w:t>
      </w:r>
      <w:r xml:space="preserve">
        <w:t> </w:t>
      </w:r>
      <w:r>
        <w:t xml:space="preserve">prekindergarten programs under Subchapter E, Chapter 29</w:t>
      </w:r>
      <w:r>
        <w:rPr>
          <w:u w:val="single"/>
        </w:rPr>
        <w:t xml:space="preserve">, except class size limits for prekindergarten classes imposed under Section 25.112, which do not apply</w:t>
      </w:r>
      <w:r>
        <w:t xml:space="preserve">;</w:t>
      </w:r>
    </w:p>
    <w:p w:rsidR="003F3435" w:rsidRDefault="0032493E">
      <w:pPr>
        <w:spacing w:line="480" w:lineRule="auto"/>
        <w:ind w:firstLine="2160"/>
        <w:jc w:val="both"/>
      </w:pPr>
      <w:r>
        <w:t xml:space="preserve">(G)</w:t>
      </w:r>
      <w:r xml:space="preserve">
        <w:t> </w:t>
      </w:r>
      <w:r xml:space="preserve">
        <w:t> </w:t>
      </w:r>
      <w:r>
        <w:t xml:space="preserve">extracurricular activities under Section 33.081;</w:t>
      </w:r>
    </w:p>
    <w:p w:rsidR="003F3435" w:rsidRDefault="0032493E">
      <w:pPr>
        <w:spacing w:line="480" w:lineRule="auto"/>
        <w:ind w:firstLine="2160"/>
        <w:jc w:val="both"/>
      </w:pPr>
      <w:r>
        <w:t xml:space="preserve">(H)</w:t>
      </w:r>
      <w:r xml:space="preserve">
        <w:t> </w:t>
      </w:r>
      <w:r xml:space="preserve">
        <w:t> </w:t>
      </w:r>
      <w:r>
        <w:t xml:space="preserve">health and safety under Chapter 38;</w:t>
      </w:r>
    </w:p>
    <w:p w:rsidR="003F3435" w:rsidRDefault="0032493E">
      <w:pPr>
        <w:spacing w:line="480" w:lineRule="auto"/>
        <w:ind w:firstLine="2160"/>
        <w:jc w:val="both"/>
      </w:pPr>
      <w:r>
        <w:t xml:space="preserve">(I)</w:t>
      </w:r>
      <w:r xml:space="preserve">
        <w:t> </w:t>
      </w:r>
      <w:r xml:space="preserve">
        <w:t> </w:t>
      </w:r>
      <w:r>
        <w:t xml:space="preserve">public school accountability under Subchapters B, C, D, F, and J, Chapter 39, and Chapter 39A; and</w:t>
      </w:r>
    </w:p>
    <w:p w:rsidR="003F3435" w:rsidRDefault="0032493E">
      <w:pPr>
        <w:spacing w:line="480" w:lineRule="auto"/>
        <w:ind w:firstLine="2160"/>
        <w:jc w:val="both"/>
      </w:pPr>
      <w:r>
        <w:t xml:space="preserve">(J)</w:t>
      </w:r>
      <w:r xml:space="preserve">
        <w:t> </w:t>
      </w:r>
      <w:r xml:space="preserve">
        <w:t> </w:t>
      </w:r>
      <w:r>
        <w:t xml:space="preserve">the duty to discharge or refuse to hire certain employees or applicants for employment under Section 12.1059.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12.104(b), Education Code, as amended by Chapters 262 (H.B. 1597), 464 (S.B. 11), 467 (H.B. 4170), and 943 (H.B. 3), Acts of the 86th Legislature, Regular Session, 2019,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w:t>
      </w:r>
      <w:r>
        <w:rPr>
          <w:u w:val="single"/>
        </w:rPr>
        <w:t xml:space="preserve">, except class size limits for prekindergarten classes imposed under Section 25.112, which do not apply</w:t>
      </w:r>
      <w:r>
        <w:t xml:space="preserve">;</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public school accountability under Subchapters B, C, D, F, G, and J, Chapter 39, and Chapter 39A;</w:t>
      </w:r>
    </w:p>
    <w:p w:rsidR="003F3435" w:rsidRDefault="0032493E">
      <w:pPr>
        <w:spacing w:line="480" w:lineRule="auto"/>
        <w:ind w:firstLine="2160"/>
        <w:jc w:val="both"/>
      </w:pPr>
      <w:r>
        <w:t xml:space="preserve">(M)</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(N)</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(O)</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(P)</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(Q)</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(R)</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(S)</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(T)</w:t>
      </w:r>
      <w:r xml:space="preserve">
        <w:t> </w:t>
      </w:r>
      <w:r xml:space="preserve">
        <w:t> </w:t>
      </w:r>
      <w:r>
        <w:t xml:space="preserve">establishment of residency under Section 25.001</w:t>
      </w:r>
      <w:r>
        <w:rPr>
          <w:u w:val="single"/>
        </w:rPr>
        <w:t xml:space="preserve">;</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school safety requirements under Sections 37.108, 37.1081, 37.1082, 37.109, 37.113, 37.114, 37.115, 37.207, and 37.2071</w:t>
      </w:r>
      <w:r>
        <w:rPr>
          <w:u w:val="single"/>
        </w:rPr>
        <w:t xml:space="preserve">;</w:t>
      </w:r>
    </w:p>
    <w:p w:rsidR="003F3435" w:rsidRDefault="0032493E">
      <w:pPr>
        <w:spacing w:line="480" w:lineRule="auto"/>
        <w:ind w:firstLine="2160"/>
        <w:jc w:val="both"/>
      </w:pPr>
      <w:r>
        <w:rPr>
          <w:u w:val="single"/>
        </w:rPr>
        <w:t xml:space="preserve">(V)</w:t>
      </w:r>
      <w:r xml:space="preserve">
        <w:t> </w:t>
      </w:r>
      <w:r>
        <w:t xml:space="preserve">[</w:t>
      </w:r>
      <w:r>
        <w:rPr>
          <w:strike/>
        </w:rPr>
        <w:t xml:space="preserve">(T)</w:t>
      </w:r>
      <w:r>
        <w:t xml:space="preserve">]</w:t>
      </w:r>
      <w:r xml:space="preserve">
        <w:t> </w:t>
      </w:r>
      <w:r xml:space="preserve">
        <w:t> </w:t>
      </w:r>
      <w:r>
        <w:t xml:space="preserve">the early childhood literacy and mathematics proficiency plans under Section 11.185; and</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the college, career, and military readiness plans under Section 11.186.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