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87R9391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average ratio of students and teachers in a prekindergarten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29.167, Education Code, is amended by amending Subsection (d) and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school district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must attempt to</w:t>
      </w:r>
      <w:r>
        <w:t xml:space="preserve">] maintain an average ratio in any prekindergarten program class of not less than one certified teacher or teacher's aide for each 11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application by a school district, the commissioner may exempt the district from complying with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seeking an exemption under Subsection (e) shall apply to the commissioner for the exemption not later than: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October 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30th day after the first school day the district exceeds the ratio provided by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district repeatedly fails to comply with this section, the commissioner may take any appropriate action authorized to be taken by the commissioner under Chapter 39A.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