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 and the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Texas Rising Star Program is a [</w:t>
      </w:r>
      <w:r>
        <w:rPr>
          <w:strike/>
        </w:rPr>
        <w:t xml:space="preserve">voluntary,</w:t>
      </w:r>
      <w:r>
        <w:t xml:space="preserve">] quality-based child care rating system of child care providers participating in the commission's subsidized child care program.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302.0042(b)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w:t>
      </w:r>
      <w:r>
        <w:rPr>
          <w:u w:val="single"/>
        </w:rPr>
        <w:t xml:space="preserve">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number of 3-star and 4-star rated child care providers participating in partnerships with public school districts and public charter schools based on data provided by the Texas Education Agency, as necessary</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w:t>
      </w:r>
      <w:r>
        <w:rPr>
          <w:u w:val="single"/>
        </w:rPr>
        <w:t xml:space="preserve">(b)(7)-(14)</w:t>
      </w:r>
      <w:r>
        <w:t xml:space="preserve"> [</w:t>
      </w:r>
      <w:r>
        <w:rPr>
          <w:strike/>
        </w:rPr>
        <w:t xml:space="preserve">(b)(7)-(13)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302, Labor Code, is amended by adding Section 302.00436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302.00436.</w:t>
      </w:r>
      <w:r>
        <w:rPr>
          <w:u w:val="single"/>
        </w:rPr>
        <w:t xml:space="preserve"> </w:t>
      </w:r>
      <w:r>
        <w:rPr>
          <w:u w:val="single"/>
        </w:rPr>
        <w:t xml:space="preserve"> </w:t>
      </w:r>
      <w:r>
        <w:rPr>
          <w:u w:val="single"/>
        </w:rPr>
        <w:t xml:space="preserve">SUBSIDIZED CHILD CARE PROGRAM: INFORMATION FOR PUBLIC SCHOOLS. 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302.0461, Labor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  A local workforce development board shall update the report required by Subsection (c) every </w:t>
      </w:r>
      <w:r>
        <w:rPr>
          <w:u w:val="single"/>
        </w:rPr>
        <w:t xml:space="preserve">12</w:t>
      </w:r>
      <w:r>
        <w:t xml:space="preserve"> [</w:t>
      </w:r>
      <w:r>
        <w:rPr>
          <w:strike/>
        </w:rPr>
        <w:t xml:space="preserve">six</w:t>
      </w:r>
      <w:r>
        <w:t xml:space="preserve">] months from the date the board submits its initial report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workforce development board may allow a child care provider with whom the board contracts under Subsection (a) to identify and refer to the board children who could be eligible for subsidized child care services.  In making a referral under this subsection, the child care provider shall consider whether the child or the child's parent is a member of a group entitled to a priority in the provision of services provided by or in cooperation with the commission, including a priority described by Section 302.152 of this code or Section 264.121(a)(3),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