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2089</w:t>
      </w:r>
    </w:p>
    <w:p w:rsidR="003F3435" w:rsidRDefault="0032493E">
      <w:pPr>
        <w:ind w:firstLine="720"/>
        <w:jc w:val="both"/>
      </w:pPr>
      <w:r>
        <w:t xml:space="preserve">(Dominguez)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tax revenue to acquire, construct, enhance, upgrade, operate, and maintain convention center facilities, multipurpose arenas, venues, and spaceport and spacecraft observation facilities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351.1016.</w:t>
      </w:r>
      <w:r>
        <w:rPr>
          <w:u w:val="single"/>
        </w:rPr>
        <w:t xml:space="preserve"> </w:t>
      </w:r>
      <w:r>
        <w:rPr>
          <w:u w:val="single"/>
        </w:rPr>
        <w:t xml:space="preserve"> </w:t>
      </w:r>
      <w:r>
        <w:rPr>
          <w:u w:val="single"/>
        </w:rPr>
        <w:t xml:space="preserve">CERTAIN QUALIFIED PROJECTS IN BORDER MUNICIPALITIES.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year amount" means the amount of hotel-associated revenue collected in a project financing zone during the calendar year in which a municipality designates the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"Hotel-associated revenue" means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tax revenue collected in a project financing zone from all hotels located in the zone that would be available to the owners of qualified hotel projects under Section 151.429(h) if the hotels were qualified hotel projects;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tax revenue collected from all permittees under Chapter 183 at hotels located in the zone, excluding revenue disbursed by the comptroller under Section 183.051(b).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"Incremental hotel-associated revenue" means the amount in any calendar year by which hotel-associated revenue, including hotel-associated revenue from hotels built in the project financing zone after the year in which a municipality designates the zone, exceeds the base year amount.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 financing zone" means an area within a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municipality by ordinance or by agreement under Chapter 380, Local Government Code, designates as a project financing zone;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boundaries of which are within a one-mile radius of the center of a qualified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designation of which specifies the longitude and latitude of the center of the qualified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designation of which expires not later than the 15th anniversary of the date of designation;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all or part of which is located in an area designated as a qualified opportunity zone under Section 1400Z-1, Internal Revenue Code of 1986.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project"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venue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on land owned by a municipality, another governmental entity, or the owner of the venue;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partially financed by private contributions that equal not less than 40 percent of the project costs;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related to the promotion of tourism and the convention and hotel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towers and other facilities used by hotel guests and tourists to observe spacecraft and spaceport activities and learn about spacecraft and spaceport operations and launches.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"Spacecraft" and "spaceport" have the meanings assigned by Section 507.001,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"Venue" has the meaning assigned by Section 334.001,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qualified project located in a municipality that is the county seat of a county bordering the Gulf of Mexico and the United Mexican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uses provided by Section 351.101, revenue from the municipal hotel occupancy tax may be used to fund a qualified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pledge the revenue derived from the tax imposed under this chapter from a hotel located in the project financing zone for the payment of bonds or other obligations issued or incurred to acquire, lease, construct, improve, enlarge, equip, operate, maintain, and repair the qualified project or to acquire real property on which the qualified project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pledge for the payment of bonds or other obligations described by Subsection (d) the local revenue from eligible taxable proceeds as defined by Section 2303.5055(e), Government Code, from hotels located in a project financing zone that would be available to the owners of qualified hotel projects under that section if the hotels were qualified hotel projects.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shall notify the comptroller of the municipality's designation of a project financing zone not later than the 30th day after the date the municipality designates the zone. </w:t>
      </w:r>
      <w:r>
        <w:rPr>
          <w:u w:val="single"/>
        </w:rPr>
        <w:t xml:space="preserve"> </w:t>
      </w:r>
      <w:r>
        <w:rPr>
          <w:u w:val="single"/>
        </w:rPr>
        <w:t xml:space="preserve">Notwithstanding other law, the municipality is entitled to receive the incremental hotel-associated revenue from the project financing zone for the period beginning on the first day of the year after the year in which the municipality designates the zone and ending on the last day of the month during which the designation expires. </w:t>
      </w:r>
      <w:r>
        <w:rPr>
          <w:u w:val="single"/>
        </w:rPr>
        <w:t xml:space="preserve"> </w:t>
      </w:r>
      <w:r>
        <w:rPr>
          <w:u w:val="single"/>
        </w:rPr>
        <w:t xml:space="preserve">The municipality may pledge the revenue for the payment of bonds or other obligations described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deposit incremental hotel-associated revenue collected by or forwarded to the comptroller in a separate suspense account to be held in trust for the municipality that is entitled to receive the revenue.  The suspense account is outside the state treasury, and the comptroller may make a payment authorized by this section from the account without the necessity of an appropriation.  The comptroller shall begin making payments from the suspense account to the municipality for which the money is held on the date the qualified project in the project financing zone is commenced. </w:t>
      </w:r>
      <w:r>
        <w:rPr>
          <w:u w:val="single"/>
        </w:rPr>
        <w:t xml:space="preserve"> </w:t>
      </w:r>
      <w:r>
        <w:rPr>
          <w:u w:val="single"/>
        </w:rPr>
        <w:t xml:space="preserve">If the qualified project is not commenced by the fifth anniversary of the first deposit to the account, the comptroller shall transfer the money in the account to the general revenue fund and cease making deposits to the account.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estimate the amount of incremental hotel-associated revenue that will be deposited to a suspense account under Subsection (g) during each calendar year.  The comptroller may make deposits to the account and the municipality may request disbursements from the account on a monthly basis based on the estimate.  At the end of each calendar year, the comptroller shall adjust the deposits and disbursements to reflect the amount of revenue actually deposited to the account during the calendar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shall notify the comptroller if the qualified project in the project financing zone is abandoned. </w:t>
      </w:r>
      <w:r>
        <w:rPr>
          <w:u w:val="single"/>
        </w:rPr>
        <w:t xml:space="preserve"> </w:t>
      </w:r>
      <w:r>
        <w:rPr>
          <w:u w:val="single"/>
        </w:rPr>
        <w:t xml:space="preserve">If the qualified project is abandoned, the comptroller shall transfer to the general revenue fund the amount of money in the suspense account that exceeds the amount required for the payment of bonds or other obligations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