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87R12033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unemployment compensation claimants with access to copies of their previously filed claims for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208, Labor Code, is amended by adding Section 208.0225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208.0225.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FOR COPY OF CLAIM FILINGS.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and implement a procedure by which a claimant who has received a notice of an initial claim determination under Section 208.022 may request and promptly receive from the commission a copy of the claimant's filings in relation to the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include in a prominent location on the commission's Internet website detailed information regarding how a claimant may submit a request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