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2099</w:t>
      </w:r>
    </w:p>
    <w:p w:rsidR="003F3435" w:rsidRDefault="0032493E">
      <w:pPr>
        <w:ind w:firstLine="720"/>
        <w:jc w:val="both"/>
      </w:pPr>
      <w:r>
        <w:t xml:space="preserve">(Patterson)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methods by which a claimant may check the status of a claim for unemployment compensation benefits filed with the Texas Workforce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208, Labor Code, is amended by adding Section 208.005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208.005.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CLAIM STATUS INFORMATION.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ensure that a person who files a claim for benefits is able to check the status of the person's claim through one or more convenient telephonic or electronic methods. </w:t>
      </w:r>
      <w:r>
        <w:rPr>
          <w:u w:val="single"/>
        </w:rPr>
        <w:t xml:space="preserve"> </w:t>
      </w:r>
      <w:r>
        <w:rPr>
          <w:u w:val="single"/>
        </w:rPr>
        <w:t xml:space="preserve">Each method must provide the person with an option to submit the person's contact information to the commission and receive a return phone call or e-mail response from the commission within a reasonable time regarding the status of the person's claim.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include in a prominent location on the commission's Internet website detailed information regarding the methods available to a claimant for checking the status of a claim for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