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Perry</w:t>
      </w:r>
      <w:r xml:space="preserve">
        <w:tab wTab="150" tlc="none" cTlc="0"/>
      </w:r>
      <w:r>
        <w:t xml:space="preserve">S.B.</w:t>
      </w:r>
      <w:r xml:space="preserve">
        <w:t> </w:t>
      </w:r>
      <w:r>
        <w:t xml:space="preserve">No.</w:t>
      </w:r>
      <w:r xml:space="preserve">
        <w:t> </w:t>
      </w:r>
      <w:r>
        <w:t xml:space="preserve">2115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certain complaints against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112, Occupations Code, is amended by adding Subchapter C to read as follows:</w:t>
      </w:r>
    </w:p>
    <w:p w:rsidR="003F3435" w:rsidRDefault="0032493E">
      <w:pPr>
        <w:spacing w:line="480" w:lineRule="auto"/>
        <w:jc w:val="center"/>
      </w:pPr>
      <w:r>
        <w:rPr>
          <w:u w:val="single"/>
        </w:rPr>
        <w:t xml:space="preserve">SUBCHAPTER C.  COMPLAINT REFERRALS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COMPLAINTS AGAINST HEALTH CARE PRACTITIONER LICENSED BY DIFFERENT LICENSING ENTITY.  (a)  Notwithstanding any other law, a licensing entity that receives a complaint concerning a health care practitioner who holds a license issued by a different licensing entity shall promptly forward a copy of the complaint to that licensing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entity may not take disciplinary action based on a complaint against a health care practitioner who holds a license issued by a different licensing entity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entity that issued the license refers the complaint back to the licensing entity that received the complaint for investigation and resolution;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disciplinary action is taken under Subtitle B for practicing medicine in this state without a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complaint filed against a health care practitioner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