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87R8062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certain companies that censor their users'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2275 to read as follows:</w:t>
      </w:r>
    </w:p>
    <w:p w:rsidR="003F3435" w:rsidRDefault="0032493E">
      <w:pPr>
        <w:spacing w:line="480" w:lineRule="auto"/>
        <w:jc w:val="center"/>
      </w:pPr>
      <w:r>
        <w:rPr>
          <w:u w:val="single"/>
        </w:rPr>
        <w:t xml:space="preserve">CHAPTER 2275.  PROHIBITION ON CONTRACTS WITH CERTAIN COMPANIES THAT CENSOR SPEECH</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"Interactive computer services company" means an information service, system, or access software provider that provides or enables computer access by multiple users to a server, including a service, system, website, web application, or web portal that provides a social media platform for at least 10,000 users to engage in expressive activity.  The term does not include an Internet service provider as defined by Section 324.055, Business &amp; Commerce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2251.001.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"User" means a person that posts, uploads, transmits, or otherwise publishes content using an interactive computer services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2275.0002.</w:t>
      </w:r>
      <w:r>
        <w:rPr>
          <w:u w:val="single"/>
        </w:rPr>
        <w:t xml:space="preserve"> </w:t>
      </w:r>
      <w:r>
        <w:rPr>
          <w:u w:val="single"/>
        </w:rPr>
        <w:t xml:space="preserve"> </w:t>
      </w:r>
      <w:r>
        <w:rPr>
          <w:u w:val="single"/>
        </w:rPr>
        <w:t xml:space="preserve">PROVISION REQUIRED IN CONTRACT.  (a)  A state agency may not enter into a contract with an interactive computer services company unless the contract contains a written verification from the company that, during the term of the contract, the company will not block, censor, remove, or otherwise restrict a user's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interactive computer services company may not be considered to have violated Subsection (a) based solely on the adoption by the company of a policy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access to or availability of content that the interactive computer services company or user of the interactive computer services company reasonably considers to be obscene, lewd, lascivious, filthy, excessively violent, harassing, or otherwise objectionable, regardless of whether that content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or make available the technical means to restrict access to content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2275.0003.</w:t>
      </w:r>
      <w:r>
        <w:rPr>
          <w:u w:val="single"/>
        </w:rPr>
        <w:t xml:space="preserve"> </w:t>
      </w:r>
      <w:r>
        <w:rPr>
          <w:u w:val="single"/>
        </w:rPr>
        <w:t xml:space="preserve"> </w:t>
      </w:r>
      <w:r>
        <w:rPr>
          <w:u w:val="single"/>
        </w:rPr>
        <w:t xml:space="preserve">ASSISTANCE FROM ATTORNEY GENERAL.  On the request of a state agency, the attorney general shall assist the agency in determining whether an interactive computer services company has engaged in conduct that violates Section 2275.0002(a).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