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2124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health benefit plan sponsor to consent to electronic delivery of certain communications on behalf of a party enrolled in the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35.001, Insurance Code, is amended by adding Subdivision (4-a)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"Plan sponsor" means a person, other than a regulated entity, who establishes, adopts, or maintains a health benefit plan, including a vision or dental benefit plan, that covers residents of this state, including a plan established, adopted, or maintained by an employer or jointly by an employer and one or more employee organizations, an association, a committee, a joint board of trustees, or any similar group of representatives who establish, adopt, or maintain a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35, Insurance Code, is amended by adding Section 35.0041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35.0041.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CONSENT TO ELECTRONIC DELIVERY BY PLAN SPONSOR.  (a)  The plan sponsor of a health benefit plan, including a vision or dental benefit plan, may, on behalf of a party enrolled in the plan, give the consent required by Section 35.004(c)(1).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consenting on behalf of a party, a plan sponsor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party with the statements required by Sections 35.004(c)(2) and (c)(3)(A);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confirm that the party routinely uses electronic communications during the normal course of employment;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party an opportunity to opt out of delivery by electronic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health benefit plan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2124 passed the Senate on April 29,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1;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27, 2021, Senate refused to concur in House amendments and requested appointment of Conference Committee; May 28, 2021, House granted request of the Senate; May 30, 2021, Senate adopted Conference Committee Report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2124 passed the House, with amendments, on May 24,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146, Nays</w:t>
      </w:r>
      <w:r xml:space="preserve">
        <w:t> </w:t>
      </w:r>
      <w:r>
        <w:t xml:space="preserve">0, one present not voting; May 28, 2021, House granted request of the Senate for appointment of Conference Committee;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30, 2021, House adopted Conference Committee Report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