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2124</w:t>
      </w:r>
    </w:p>
    <w:p w:rsidR="003F3435" w:rsidRDefault="0032493E">
      <w:pPr>
        <w:ind w:firstLine="720"/>
        <w:jc w:val="both"/>
      </w:pPr>
      <w:r>
        <w:t xml:space="preserve">(Lucio III)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health benefit plan sponsor to consent to electronic delivery of certain communications on behalf of a party enrolled in the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35.001, Insurance Code, is amended by adding Subdivision (4-a)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"Plan sponsor" means a person, other than a regulated entity, who establishes, adopts, or maintains a health benefit plan, including a vision or dental benefit plan, that covers residents of this state, including a plan established, adopted, or maintained by an employer or jointly by an employer and one or more employee organizations, an association, a committee, a joint board of trustees, or any similar group of representatives who establish, adopt, or maintain a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35, Insurance Code, is amended by adding Section 35.0041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35.0041.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CONSENT TO ELECTRONIC DELIVERY BY PLAN SPONSOR.  (a)  The plan sponsor of a health benefit plan, including a vision or dental benefit plan, may, on behalf of a party enrolled in the plan, give the consent required by Section 35.004(c)(1).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consenting on behalf of a party, a plan sponsor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party with the statements required by Sections 35.004(c)(2) and (c)(3)(A);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confirm that the party routinely uses electronic communications during the normal course of employment;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the party an opportunity to opt out of delivery by electronic means.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health benefit plan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