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87R3294 RDS-D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Blanco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2128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amount of certain motor vehicle sales and use taxes and penalties that a county may retain each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152.123(a), Tax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county tax assessor-collector each calendar year shall calculate </w:t>
      </w:r>
      <w:r>
        <w:rPr>
          <w:u w:val="single"/>
        </w:rPr>
        <w:t xml:space="preserve">six</w:t>
      </w:r>
      <w:r>
        <w:t xml:space="preserve"> [</w:t>
      </w:r>
      <w:r>
        <w:rPr>
          <w:strike/>
        </w:rPr>
        <w:t xml:space="preserve">five</w:t>
      </w:r>
      <w:r>
        <w:t xml:space="preserve">] percent of the tax and penalties collected by the county tax assessor-collector under this chapter in the preceding calendar year.  In addition, the county tax assessor-collector shall calculate each calendar year an amount equal to </w:t>
      </w:r>
      <w:r>
        <w:rPr>
          <w:u w:val="single"/>
        </w:rPr>
        <w:t xml:space="preserve">six</w:t>
      </w:r>
      <w:r>
        <w:t xml:space="preserve"> [</w:t>
      </w:r>
      <w:r>
        <w:rPr>
          <w:strike/>
        </w:rPr>
        <w:t xml:space="preserve">five</w:t>
      </w:r>
      <w:r>
        <w:t xml:space="preserve">] percent of the tax and penalties that the comptroller: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collected under Section 152.047 in the preceding calendar year;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determines are attributable to sales in the county.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January 1, 2022.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2128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