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87R7203 NC-D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public improvement projects for unincorporated communities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12, Local Government Code, is amended by adding Chapter 388 to read as follows:</w:t>
      </w:r>
    </w:p>
    <w:p w:rsidR="003F3435" w:rsidRDefault="0032493E">
      <w:pPr>
        <w:spacing w:line="480" w:lineRule="auto"/>
        <w:jc w:val="center"/>
      </w:pPr>
      <w:r>
        <w:rPr>
          <w:u w:val="single"/>
        </w:rPr>
        <w:t xml:space="preserve">CHAPTER 388. </w:t>
      </w:r>
      <w:r>
        <w:rPr>
          <w:u w:val="single"/>
        </w:rPr>
        <w:t xml:space="preserve"> </w:t>
      </w:r>
      <w:r>
        <w:rPr>
          <w:u w:val="single"/>
        </w:rPr>
        <w:t xml:space="preserve">GRANT PROGRAM FOR UNINCORPORATED COMMUNITIES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388.001.</w:t>
      </w:r>
      <w:r>
        <w:rPr>
          <w:u w:val="single"/>
        </w:rPr>
        <w:t xml:space="preserve"> </w:t>
      </w:r>
      <w:r>
        <w:rPr>
          <w:u w:val="single"/>
        </w:rPr>
        <w:t xml:space="preserve"> </w:t>
      </w:r>
      <w:r>
        <w:rPr>
          <w:u w:val="single"/>
        </w:rPr>
        <w:t xml:space="preserve">APPLICABILITY.  This chapter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not more than 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at least three counties with populations of less than 10,000;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located on an international border.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388.002.</w:t>
      </w:r>
      <w:r>
        <w:rPr>
          <w:u w:val="single"/>
        </w:rPr>
        <w:t xml:space="preserve"> </w:t>
      </w:r>
      <w:r>
        <w:rPr>
          <w:u w:val="single"/>
        </w:rPr>
        <w:t xml:space="preserve"> </w:t>
      </w:r>
      <w:r>
        <w:rPr>
          <w:u w:val="single"/>
        </w:rPr>
        <w:t xml:space="preserve">IMPROVEMENT PROJECT GRANT PROGRAM.  (a) </w:t>
      </w:r>
      <w:r>
        <w:rPr>
          <w:u w:val="single"/>
        </w:rPr>
        <w:t xml:space="preserve"> </w:t>
      </w:r>
      <w:r>
        <w:rPr>
          <w:u w:val="single"/>
        </w:rPr>
        <w:t xml:space="preserve">The commissioners court of a county by order may establish and implement a grant program for the purpose of funding public improvement projects to benefit unincorporated communities located in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improvement project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construction, or improvement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sidewalks, streets, roads, or other transportation infrastructure;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water, wastewater, or drainage facilities or improvements;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public facilities or improvements;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 supplemental services for improvement and promotion of the area, including services relating to advertising, promotion, health and sanitation, water and wastewater, public safety, security, business recruitment, development, recreation, and cultural enhancement.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388.003.</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The county may accept a gift, grant, or donation from any source to fund a public improvement project described by Section 388.002.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