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24,</w:t>
      </w:r>
      <w:r xml:space="preserve">
        <w:t> </w:t>
      </w:r>
      <w:r>
        <w:t xml:space="preserve">2021; April</w:t>
      </w:r>
      <w:r xml:space="preserve">
        <w:t> </w:t>
      </w:r>
      <w:r>
        <w:t xml:space="preserve">6,</w:t>
      </w:r>
      <w:r xml:space="preserve">
        <w:t> </w:t>
      </w:r>
      <w:r>
        <w:t xml:space="preserve">2021, read first time and referred to Committee on Education;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10,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2158</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the Texas Education Agency to provide identification kits to school districts and open-enrollment charter schools for distribution to the parent or legal custodian of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Education Code, is amended by adding Section 33.0531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33.0531.</w:t>
      </w:r>
      <w:r>
        <w:rPr>
          <w:u w:val="single"/>
        </w:rPr>
        <w:t xml:space="preserve"> </w:t>
      </w:r>
      <w:r>
        <w:rPr>
          <w:u w:val="single"/>
        </w:rPr>
        <w:t xml:space="preserve"> </w:t>
      </w:r>
      <w:r>
        <w:rPr>
          <w:u w:val="single"/>
        </w:rPr>
        <w:t xml:space="preserve">CHILD IDENTIFICATION PROGRAM.  (a) </w:t>
      </w:r>
      <w:r>
        <w:rPr>
          <w:u w:val="single"/>
        </w:rPr>
        <w:t xml:space="preserve"> </w:t>
      </w:r>
      <w:r>
        <w:rPr>
          <w:u w:val="single"/>
        </w:rPr>
        <w:t xml:space="preserve">The agency shall provide to all school districts and open-enrollment charter schools inkless, in-home fingerprint and DNA identification kits to be distributed through the district or school on request to the parent or legal custodian of any kindergarten, elementary, or middle school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legal custodian who receives a fingerprint and DNA identification kit may submit the kit to federal, state, tribal, or local law enforcement to help locate and return a missing or trafficked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33.057, Education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DESTRUCTION OF FINGERPRINTS AND PHOTOGRAPHS.  The agency shall adopt rules relating to the destruction of fingerprints and photographs made or kept under </w:t>
      </w:r>
      <w:r>
        <w:rPr>
          <w:u w:val="single"/>
        </w:rPr>
        <w:t xml:space="preserve">Section 33.053 or 33.054</w:t>
      </w:r>
      <w:r>
        <w:t xml:space="preserve"> [</w:t>
      </w:r>
      <w:r>
        <w:rPr>
          <w:strike/>
        </w:rPr>
        <w:t xml:space="preserve">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Section 33.0531, Education Code, as added by this Act, only if the legislature appropriates money specifically for that purpose.  If the legislature does not appropriate money specifically for that purpose, the agency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