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87R16581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2160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filing of an assumed name certificate by certain business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71.103, Business &amp; Commerce Code, is amended to read as follows:</w:t>
      </w:r>
    </w:p>
    <w:p w:rsidR="003F3435" w:rsidRDefault="0032493E">
      <w:pPr>
        <w:spacing w:line="480" w:lineRule="auto"/>
        <w:ind w:firstLine="720"/>
        <w:jc w:val="both"/>
      </w:pPr>
      <w:r>
        <w:t xml:space="preserve">Sec.</w:t>
      </w:r>
      <w:r xml:space="preserve">
        <w:t> </w:t>
      </w:r>
      <w:r>
        <w:t xml:space="preserve">71.103.</w:t>
      </w:r>
      <w:r xml:space="preserve">
        <w:t> </w:t>
      </w:r>
      <w:r xml:space="preserve">
        <w:t> </w:t>
      </w:r>
      <w:r>
        <w:t xml:space="preserve">PLACE OF FILING.  (a)  A corporation, limited partnership, limited liability partnership, limited liability company, or foreign filing entity required to file a certificate under Section 71.101</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shall file the certificate in the office of the secretary of state</w:t>
      </w:r>
      <w:r>
        <w:rPr>
          <w:u w:val="single"/>
        </w:rPr>
        <w:t xml:space="preserv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may file the certificate in the office or offices of each county clerk as specified by Subsection (b) or (c)</w:t>
      </w:r>
      <w:r>
        <w:t xml:space="preserv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entity that maintains a registered office in this state may file the certificate in the office of the county clerk of the county in which the entity's: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registered office is located, if the entity's principal office is not located in this state;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principal office is located, if the entity's principal office is located in this state.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entity that does not maintain a registered office in this state may file the certificate: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the office of the county clerk of the county in which the entity's office in this state is located;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office of the county clerk of the county in which the entity's principal place of business in this state is located, if: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entity is not incorporated, formed, or organized under the laws of this state;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county in which the entity's principal place of business in this state is located is not the same county in which the entity's office is located.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71.104, Business &amp; Commerce Code, is amended by adding Subsection (b) to read as follows: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certificate filed in a county clerk's office must be executed and acknowledged in the manner provided by Section 71.053 for a certificate filed under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71.104(b), Business &amp; Commerce Code, as added by this Act, applies only to a certificate filed on or after the effective date of this Act.  A certificate filed before the effective date of this Act is governed by the law in effect on the date the certificate was filed,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2160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