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passenger transportation on state aircraft.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2205.036(c),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not provide aircraft transportation to a destination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destination is not served by a commercial carrier;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aircraft transportation is the most cost-effective travel arrangement in accordance with Section 660.007(a);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the time required to use a commercial carrier interferes with passenger obligations;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Department of Public Safety determines that security concerns for a passenger warrant the use of a state aircraft;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the number of passengers traveling makes the use of a state aircraft cost-effective;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emergency circumstances necessitate the use of a state aircraft.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