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87R25152 NC-D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2188</w:t>
      </w:r>
    </w:p>
    <w:p w:rsidR="003F3435" w:rsidRDefault="0032493E">
      <w:pPr>
        <w:ind w:firstLine="720"/>
        <w:jc w:val="both"/>
      </w:pPr>
      <w:r>
        <w:t xml:space="preserve">(Hernandez)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2188: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Paddie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2188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municipal or county regulation of residential detention facilities for immigrant or refugee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250, Local Government Code, is amended by adding Section 250.011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250.011.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RESIDENTIAL IMMIGRANT OR REFUGEE CHILD DETENTION FACILITIES.  (a)  In this section, "residential child detention facility" means a private facility other than a facility licensed by this state that operates under a contract with the United States Immigration and Customs Enforcement, the United States Department of Health and Human Services, or another federal agency to provide 24-hour custody or care to unaccompanied immigrant or refugee children.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or a county may adopt and enforce an ordinance, order, or other regulation that requires a residential child detention facility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adequate water, wastewater, or other utilities for the facility;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 reasonable minimum standards that promote the health, safety, and welfare of the residents of the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not regulate under Subsection (b) a facility that is located in the corporate boundaries of a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entering into a contract with a federal agency to operate as a residential child detention facility, the owner or operator of the proposed residential child detention facility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notice of the proposed facility: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facility is located in a municipality, to the governing body of the municipality; or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facility is located in the unincorporated area of a county, to the commissioners court of the county;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 any requirements adopted by the municipality or county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2188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