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West, et al.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2212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duty of a peace officer to request and render aid for an injured person.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2, Code of Criminal Procedure, is amended by adding Article 2.33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Art.</w:t>
      </w:r>
      <w:r>
        <w:rPr>
          <w:u w:val="single"/>
        </w:rPr>
        <w:t xml:space="preserve"> </w:t>
      </w:r>
      <w:r>
        <w:rPr>
          <w:u w:val="single"/>
        </w:rPr>
        <w:t xml:space="preserve">2.33.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DUTY TO REQUEST AND RENDER AID.  (a) </w:t>
      </w:r>
      <w:r>
        <w:rPr>
          <w:u w:val="single"/>
        </w:rPr>
        <w:t xml:space="preserve"> </w:t>
      </w:r>
      <w:r>
        <w:rPr>
          <w:u w:val="single"/>
        </w:rPr>
        <w:t xml:space="preserve">Except as provided by Subsection (b), a peace officer who encounters an injured person while discharging the officer's official duties shall immediately and as necessary: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request emergency medical services personnel to provide the person with emergency medical services;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while waiting for emergency medical services personnel to arrive, provide first aid or treatment to the person to the extent of the officer's skill and training.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peace officer is not required to request emergency medical services or provide first aid or treatment under Subsection (a) if: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making the request or providing the treatment would expose the officer or another person to a risk of bodily injury; or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officer is injured and physically unable to make the request or provide the treatment.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2212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