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87R21424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securitizing costs associated with electric markets;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create a corporation dedicated to financing costs that are eligible for securitization as provided by Subchapter M, Chapter 39.  An entity authorized to securitize costs under Subchapter M, Chapter 39, subject to any other requirements applicable to the authorization, may request that the Texas Electric Securitization Corporation conduct the financing on behalf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issued under this subchapter will be the obligation solely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CREATION OF CORPORATION.  (a) The corporation is a nonprofit corporation and instrumentality of this state, and shall perform the essential governmental function of financing eligible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property to cover its operating expenses as financing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of the corporation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w:t>
      </w:r>
      <w:r>
        <w:rPr>
          <w:u w:val="single"/>
        </w:rPr>
        <w:t xml:space="preserve"> </w:t>
      </w:r>
      <w:r>
        <w:rPr>
          <w:u w:val="single"/>
        </w:rPr>
        <w:t xml:space="preserve">The corporation or an issuer may not apply proceeds of bonds or charges to a purpose not specified in a financing order, to a purpose in an amount that exceeds the amount allowed for the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property as necessary to effect the purposes of this subchapter and, in connection with the action, agree to such terms and conditions as the corporation considers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property and to pledge such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bonds issued by the corporation, together with payment of any other qualified costs;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bonds;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property to another issuer, which may in turn pledge that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an issuer of bonds to acquire property, and pledge that property to the repayment of any borrowing from an issuer, together with any related qualified costs, all on terms and conditions consistent with a financing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initial operating expenses;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entity that collects charges for all charges, revenues, assets, liabilities, and expenses relating to the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COMMISSION REGULATION OF CORPORATION.  The commission shall regulate the corporation as provided by this subchapter. </w:t>
      </w:r>
      <w:r>
        <w:rPr>
          <w:u w:val="single"/>
        </w:rPr>
        <w:t xml:space="preserve"> </w:t>
      </w:r>
      <w:r>
        <w:rPr>
          <w:u w:val="single"/>
        </w:rPr>
        <w:t xml:space="preserve">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entity requesting securitization.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other applicable requirements of this subtitle,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specified property, and the application of the proceeds of those bonds, net of issuance costs, to the acquisition of the property from the entity requesting securitization;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bonds, net of issuance costs;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property and in each case the pledge of the property to the repayment of the loan or bonds,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the corporation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w:t>
      </w:r>
      <w:r>
        <w:t xml:space="preserve"> 39.1516, 39.155, 39.157(e),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the independent system operator in ERCOT may not apply proceeds or assess uplift charges to a municipally owned utility that becomes subject to the jurisdiction of the independent system operator in ERCOT on or after June 1, 2021, and before December 30, 2021, related to uplift charges that occurred before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SECURITIZATION FOR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USE OF PROCEEDS; BOND CHARGES.  (a)  The purpose of this subchapter is to enable the independent organization certified under Section 39.151 for the ERCOT power region to use securitization financing to fund extraordinary ancillary service and reliability deployment price adder charges that were uplifted on a load ratio share basis and added to the cost of energy used to supply end-use customers. </w:t>
      </w:r>
      <w:r>
        <w:rPr>
          <w:u w:val="single"/>
        </w:rPr>
        <w:t xml:space="preserve"> </w:t>
      </w:r>
      <w:r>
        <w:rPr>
          <w:u w:val="single"/>
        </w:rPr>
        <w:t xml:space="preserve">Securitization will allow wholesale market participants who are owed money to be paid in a more timely manner, while allowing the balance to be repaid over time at a low carrying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bonds issued for the purpose described by Subsection (a) must be used solely for the purpose of financing uplift balances that were allocated to all load-serving entities on a load ratio share basis as a result of usage during the period of emergency or uplift adders that were included in the cost of energy used to supply end-use customers.  The commission shall ensure that securitization provides tangible and quantifiable benefits to wholesale market participants, greater than would have been achieved absent the issuance of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uplift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"Load-serving entity"</w:t>
      </w:r>
      <w:r>
        <w:rPr>
          <w:u w:val="single"/>
        </w:rPr>
        <w:t xml:space="preserve"> </w:t>
      </w:r>
      <w:r>
        <w:rPr>
          <w:u w:val="single"/>
        </w:rPr>
        <w:t xml:space="preserve">means a municipally owned utility, an electric cooperative, or a retail electric provider that provides electric service to end-use customers.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"Period of emergency" means the period beginning 12:01 a.m., February 12, 2021, and ending 11:59 p.m., February 20, 2021.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the total balance of costs described as uplift charges, together with the costs of issuing, supporting, and servicing bonds and any costs of retiring and refunding existing debt in connection with the issuance of the bonds.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"Uplift charges"</w:t>
      </w:r>
      <w:r>
        <w:rPr>
          <w:u w:val="single"/>
        </w:rPr>
        <w:t xml:space="preserve"> </w:t>
      </w:r>
      <w:r>
        <w:rPr>
          <w:u w:val="single"/>
        </w:rPr>
        <w:t xml:space="preserve">means charges for reliability deployment price adders and ancillary services costs in excess of the commission's system-wide offer cap that were uplifted to load-serving entities on a load ratio share basis due to energy consumption during the period of emergency. </w:t>
      </w:r>
      <w:r>
        <w:rPr>
          <w:u w:val="single"/>
        </w:rPr>
        <w:t xml:space="preserve"> </w:t>
      </w:r>
      <w:r>
        <w:rPr>
          <w:u w:val="single"/>
        </w:rPr>
        <w:t xml:space="preserve">The term also includes reliability deployment price adders included in the cost of energy used to supply end-use customers during the period beginning 12:01 a.m., February 18, 2021, and ending 9 a.m., February 19,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On application of the independent organization, the commission may adopt a financing order to recover the costs of an uplift balance of qualified costs resulting from a significant pricing event on making a finding that such financing is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wholesale market participants who are owed balances;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charging those balances to the wholesale market and end-use customers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must detail the amounts to be recovered and the period over which the nonbypassable uplift charges shall be recovered. The period may not exceed 30 years. If an amount determined under this section is subject to judicial review of a commission order, a bankruptcy proceeding, or another type of litigation at the time of the securitization proceeding, the financing order shall include an adjustment mechanism requiring the independent organization to adjust its uplift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uplift charges must be allocated to all load-serving entities on a load ratio share basis for pass-through to end-use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uplift charges authorized in the order, shall be irrevocable and not subject to reduction, impairment, or adjustment by further action of the commission after it takes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financing order not later than the 30th day after the date the independent organization files a request for the financing order under Subsection (a) or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financing order is not subject to rehearing by the commission. A financing order may be reviewed by appeal by a party to the proceeding to a Travis County district court filed not later than the 15th day after the date the financing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uplift charges required to service the new bonds, including transaction costs, will be less than the future uplift charges required to service the bonds being refunded. On the retirement of the refunded bonds, the commission shall adjust the related uplift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the independent organization or its successor under a financing order, including the right to impose, collect, and receive uplift charges authorized in the order, shall be only contract rights until they are first transferred to an assignee or pledged in connection with the issuance of bonds, at which time they will become uplift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Uplift property shall constitute a present property right for purposes of contracts concerning the sale or pledge of property, even though the imposition and collection of uplift charges depends on further acts of the independent organization or others that have not yet occurred. The financing order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uplift charges shall constitute proceeds only of the uplift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INTEREST NOT SUBJECT TO SETOFF.  The interest of an assignee or pledgee in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UPLIFT CHARGES NONBYPASSABLE.  A financing order shall include terms ensuring that the imposition and collection of uplift charges authorized in the order shall be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uplift charges be reviewed and adjusted at least annually, not later than the 45th day after the anniversary date of the issuance of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SECURITY INTERESTS; ASSIGNMENT; COMMINGLING; DEFAULT.  (a)  Uplift property does not constitute an account or general intangible under Section 9.106, Business &amp; Commerce Code.  The creation, granting, perfection, and enforcement of liens and security interests in uplift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uplift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uplift property and all proceeds of the property, whether accrued or not, shall have priority in the order of filing and take precedence over any subsequent judicial or other lien creditor. If notice is filed before the 10th day after the date value is received for the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uplift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uplift charges with other funds, and any other security interest that may apply to those funds shall be terminated when they are transferred to a segregated account for the assignee or a financing party.  If uplift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uplift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uplift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Bonds authorized by this subchapter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uplift property, or reduce, alter, or impair the uplift charges to be imposed, collected, and remitted to financing parties, until the principal, interest and premium, and any other charges incurred and contracts to be performed in connection with the related bonds have been paid and performed in full.  Any party issuing bonds under this subchapter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TAX EXEMPTION. Transactions involving the transfer and ownership of uplift property and the receipt of uplift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39.613.</w:t>
      </w:r>
      <w:r>
        <w:rPr>
          <w:u w:val="single"/>
        </w:rPr>
        <w:t xml:space="preserve"> </w:t>
      </w:r>
      <w:r>
        <w:rPr>
          <w:u w:val="single"/>
        </w:rPr>
        <w:t xml:space="preserve"> </w:t>
      </w:r>
      <w:r>
        <w:rPr>
          <w:u w:val="single"/>
        </w:rPr>
        <w:t xml:space="preserve">CUSTOMER CHARGES. </w:t>
      </w:r>
      <w:r>
        <w:rPr>
          <w:u w:val="single"/>
        </w:rPr>
        <w:t xml:space="preserve"> </w:t>
      </w:r>
      <w:r>
        <w:rPr>
          <w:u w:val="single"/>
        </w:rPr>
        <w:t xml:space="preserve">All load-serving entities that directly or indirectly receive offsets to specific charges from the independent organization under this subchapter must adjust customer invoices to reflect these offsets for any charges that were or would otherwise be passed through to customers under the terms of service with the load-serving entity, including providing a refund for any offset charges that were previously paid.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independent organization certified under Section 39.151, Utilities Code, for the ERCOT power region shall file an application for a financing order under Section 39.603, Utilities Code, as added by this Act, not later than the 10th day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