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2232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effect of a change to the period for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conduct a study regarding the practical effects of eliminating the gap between the early voting period and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secretary of state shall, not later than September 1, 2022, submit a report on the secretary's findings to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study must include information on how other states conduct the voting period, the implications of the use of paper ballots, and recommendations for statutory changes.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