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2232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26,</w:t>
      </w:r>
      <w:r xml:space="preserve">
        <w:t> </w:t>
      </w:r>
      <w:r>
        <w:t xml:space="preserve">2021; April</w:t>
      </w:r>
      <w:r xml:space="preserve">
        <w:t> </w:t>
      </w:r>
      <w:r>
        <w:t xml:space="preserve">27,</w:t>
      </w:r>
      <w:r xml:space="preserve">
        <w:t> </w:t>
      </w:r>
      <w:r>
        <w:t xml:space="preserve">2021, read first time and referred to Committee on State Affairs; May</w:t>
      </w:r>
      <w:r xml:space="preserve">
        <w:t> </w:t>
      </w:r>
      <w:r>
        <w:t xml:space="preserve">5,</w:t>
      </w:r>
      <w:r xml:space="preserve">
        <w:t> </w:t>
      </w:r>
      <w:r>
        <w:t xml:space="preserve">2021, reported adversely, with favorable Committee Substitute by the following vote:</w:t>
      </w:r>
      <w:r>
        <w:t xml:space="preserve"> </w:t>
      </w:r>
      <w:r>
        <w:t xml:space="preserve"> </w:t>
      </w:r>
      <w:r>
        <w:t xml:space="preserve">Yeas 6, Nays 3;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2232</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management of polling place locations during a continuous period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41.0015.</w:t>
      </w:r>
      <w:r>
        <w:rPr>
          <w:u w:val="single"/>
        </w:rPr>
        <w:t xml:space="preserve"> </w:t>
      </w:r>
      <w:r>
        <w:rPr>
          <w:u w:val="single"/>
        </w:rPr>
        <w:t xml:space="preserve"> </w:t>
      </w:r>
      <w:r>
        <w:rPr>
          <w:u w:val="single"/>
        </w:rPr>
        <w:t xml:space="preserve">ELECTION PERIOD.  In this title, "election period" means the period beginning on the first day of early voting by personal appearance as described under Section 85.001 and ending when the polls close on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ADDITIONAL POLLING PLACES DURING ELECTION PERIOD.  If the county clerk or commissioners court, as applicable, determines that more polling places are needed during the election period than the number initially opened, the county clerk or commissioners court may open more polling places, but may not, for any reason, close a polling place before the end of the election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Immediately before opening the polls for voting on the first day of the election period, the presiding election judge shall confirm that each voting machine has any public counter reset to zero and shall print the tape: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shows the counter was set to zero;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shows the summary for each candidate and measure on the ballot for each voting machine is set to zero.</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the last day of the election period, the presiding election judge shall print the tape to show the summary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precinct election judge, and an election official aligned with a different political party, shall sign a tape printed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"election period" has the meaning assigned by Section 41.0015.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14th</w:t>
      </w:r>
      <w:r>
        <w:t xml:space="preserve"> [</w:t>
      </w:r>
      <w:r>
        <w:rPr>
          <w:strike/>
        </w:rPr>
        <w:t xml:space="preserve">17th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 except as otherwise provided by this section.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w:t>
      </w:r>
      <w:r>
        <w:rPr>
          <w:u w:val="single"/>
        </w:rPr>
        <w:t xml:space="preserve">10th</w:t>
      </w:r>
      <w:r>
        <w:t xml:space="preserve"> [</w:t>
      </w:r>
      <w:r>
        <w:rPr>
          <w:strike/>
        </w:rPr>
        <w:t xml:space="preserve">12th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125, Election Code, is amended by adding Section 125.0635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125.0635.</w:t>
      </w:r>
      <w:r>
        <w:rPr>
          <w:u w:val="single"/>
        </w:rPr>
        <w:t xml:space="preserve"> </w:t>
      </w:r>
      <w:r>
        <w:rPr>
          <w:u w:val="single"/>
        </w:rPr>
        <w:t xml:space="preserve"> </w:t>
      </w:r>
      <w:r>
        <w:rPr>
          <w:u w:val="single"/>
        </w:rPr>
        <w:t xml:space="preserve">SECURING EQUIPMENT ON FAILURE OF EQUIPMENT.  (a) In this section, "election period" has the meaning assigned by Section 41.0015.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piece of electronic voting machine equipment fails and is taken out of service during the election period, the equipment and any associated memory card must be securely isolated until the end of the election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secretary of state shall conduct a study regarding the practical effects of eliminating the gap between the early voting period and election day.</w:t>
      </w:r>
    </w:p>
    <w:p w:rsidR="003F3435" w:rsidRDefault="0032493E">
      <w:pPr>
        <w:spacing w:line="480" w:lineRule="auto"/>
        <w:ind w:firstLine="720"/>
        <w:jc w:val="both"/>
      </w:pPr>
      <w:r>
        <w:t xml:space="preserve">(b)</w:t>
      </w:r>
      <w:r xml:space="preserve">
        <w:t> </w:t>
      </w:r>
      <w:r xml:space="preserve">
        <w:t> </w:t>
      </w:r>
      <w:r>
        <w:t xml:space="preserve">The secretary of state shall, not later than September 1, 2022, submit a report on the secretary's findings to the legislature.</w:t>
      </w:r>
    </w:p>
    <w:p w:rsidR="003F3435" w:rsidRDefault="0032493E">
      <w:pPr>
        <w:spacing w:line="480" w:lineRule="auto"/>
        <w:ind w:firstLine="720"/>
        <w:jc w:val="both"/>
      </w:pPr>
      <w:r>
        <w:t xml:space="preserve">(c)</w:t>
      </w:r>
      <w:r xml:space="preserve">
        <w:t> </w:t>
      </w:r>
      <w:r xml:space="preserve">
        <w:t> </w:t>
      </w:r>
      <w:r>
        <w:t xml:space="preserve">The study must include information on how other states conduct the voting period, the implications of the use of paper ballots, and recommendations for statutory changes.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