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Hinojosa, 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2243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Zaffirini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approval for certain projects related to bridges over the Rio Grande.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201.612, Transportation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is not required to comply with Subsection (a) for a project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for the reconstruction, improvement, expansion, or maintenance of an existing bridge;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received approval from the United States under 33 U.S.C. Chapter 11, Subchapter IV (33 U.S.C. Section 535 et seq.), authorizing the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