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87R23828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approval for certain projects related to bridges over the Rio Grande.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201.612,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is not required to comply with Subsection (a) to construct or finance the construction of a bridge over the Rio Grande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political subdivision has received an amendment to an approval from the United States under 33 U.S.C. Chapter 11, Subchapter IV (33 U.S.C. Section 535 et seq.), authorizing the project;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project is adjacent to an existing bridge that has previously been approved by the United States and the commission in accordance with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